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B84C5" w14:textId="60522C08" w:rsidR="007678D0" w:rsidRDefault="007A1163" w:rsidP="007678D0">
      <w:pPr>
        <w:jc w:val="right"/>
        <w:rPr>
          <w:rFonts w:ascii="Tahoma" w:hAnsi="Tahoma" w:cs="Tahoma"/>
          <w:b/>
          <w:sz w:val="24"/>
          <w:szCs w:val="24"/>
        </w:rPr>
      </w:pPr>
      <w:r w:rsidRPr="008E0387">
        <w:rPr>
          <w:rFonts w:ascii="Tahoma" w:hAnsi="Tahoma" w:cs="Tahoma"/>
          <w:b/>
          <w:sz w:val="24"/>
          <w:szCs w:val="24"/>
        </w:rPr>
        <w:t xml:space="preserve">ANEXA </w:t>
      </w:r>
      <w:r>
        <w:rPr>
          <w:rFonts w:ascii="Tahoma" w:hAnsi="Tahoma" w:cs="Tahoma"/>
          <w:b/>
          <w:sz w:val="24"/>
          <w:szCs w:val="24"/>
        </w:rPr>
        <w:t>NR.1</w:t>
      </w:r>
    </w:p>
    <w:p w14:paraId="672162B0" w14:textId="52F78969" w:rsidR="007678D0" w:rsidRDefault="007678D0" w:rsidP="007678D0">
      <w:pPr>
        <w:jc w:val="right"/>
        <w:rPr>
          <w:rFonts w:ascii="Tahoma" w:hAnsi="Tahoma" w:cs="Tahoma"/>
          <w:b/>
          <w:sz w:val="24"/>
          <w:szCs w:val="24"/>
        </w:rPr>
      </w:pPr>
      <w:r w:rsidRPr="008E0387">
        <w:rPr>
          <w:rFonts w:ascii="Tahoma" w:hAnsi="Tahoma" w:cs="Tahoma"/>
          <w:b/>
          <w:sz w:val="24"/>
          <w:szCs w:val="24"/>
        </w:rPr>
        <w:t xml:space="preserve">la </w:t>
      </w:r>
      <w:r>
        <w:rPr>
          <w:rFonts w:ascii="Tahoma" w:hAnsi="Tahoma" w:cs="Tahoma"/>
          <w:b/>
          <w:sz w:val="24"/>
          <w:szCs w:val="24"/>
        </w:rPr>
        <w:t>Hotărârea nr.__________</w:t>
      </w:r>
    </w:p>
    <w:p w14:paraId="50712D5A" w14:textId="2E73787C" w:rsidR="00C41484" w:rsidRPr="008E0387" w:rsidRDefault="00C41484" w:rsidP="007678D0">
      <w:pPr>
        <w:jc w:val="right"/>
        <w:rPr>
          <w:rFonts w:ascii="Tahoma" w:hAnsi="Tahoma" w:cs="Tahoma"/>
          <w:b/>
          <w:sz w:val="24"/>
          <w:szCs w:val="24"/>
        </w:rPr>
      </w:pPr>
      <w:r>
        <w:rPr>
          <w:rFonts w:ascii="Tahoma" w:hAnsi="Tahoma" w:cs="Tahoma"/>
          <w:b/>
          <w:sz w:val="24"/>
          <w:szCs w:val="24"/>
        </w:rPr>
        <w:t xml:space="preserve">a </w:t>
      </w:r>
      <w:r>
        <w:rPr>
          <w:rFonts w:ascii="Tahoma" w:hAnsi="Tahoma" w:cs="Tahoma"/>
          <w:b/>
          <w:sz w:val="24"/>
          <w:szCs w:val="24"/>
        </w:rPr>
        <w:t>Consiliului Local al municipiului Bistri</w:t>
      </w:r>
      <w:r>
        <w:rPr>
          <w:rFonts w:ascii="Tahoma" w:hAnsi="Tahoma" w:cs="Tahoma"/>
          <w:b/>
          <w:sz w:val="24"/>
          <w:szCs w:val="24"/>
        </w:rPr>
        <w:t>ţ</w:t>
      </w:r>
      <w:r>
        <w:rPr>
          <w:rFonts w:ascii="Tahoma" w:hAnsi="Tahoma" w:cs="Tahoma"/>
          <w:b/>
          <w:sz w:val="24"/>
          <w:szCs w:val="24"/>
        </w:rPr>
        <w:t>a</w:t>
      </w:r>
    </w:p>
    <w:p w14:paraId="15BD6854" w14:textId="77777777" w:rsidR="006127D3" w:rsidRDefault="006127D3" w:rsidP="007678D0">
      <w:pPr>
        <w:jc w:val="right"/>
      </w:pPr>
    </w:p>
    <w:p w14:paraId="654C7358" w14:textId="77777777" w:rsidR="00794FEC" w:rsidRDefault="00794FEC" w:rsidP="007678D0">
      <w:pPr>
        <w:jc w:val="right"/>
      </w:pPr>
    </w:p>
    <w:p w14:paraId="1C9BB08F" w14:textId="77777777" w:rsidR="00794FEC" w:rsidRDefault="00794FEC" w:rsidP="007678D0">
      <w:pPr>
        <w:jc w:val="right"/>
      </w:pPr>
    </w:p>
    <w:p w14:paraId="2F259FE7" w14:textId="77777777" w:rsidR="00794FEC" w:rsidRDefault="00794FEC" w:rsidP="00794FEC">
      <w:pPr>
        <w:spacing w:after="160" w:line="267" w:lineRule="auto"/>
        <w:contextualSpacing/>
        <w:jc w:val="both"/>
        <w:rPr>
          <w:rFonts w:ascii="Tahoma" w:eastAsia="Times New Roman" w:hAnsi="Tahoma" w:cs="Tahoma"/>
          <w:sz w:val="24"/>
          <w:szCs w:val="24"/>
        </w:rPr>
      </w:pPr>
    </w:p>
    <w:p w14:paraId="51741FA2" w14:textId="20D96BC6" w:rsidR="00794FEC" w:rsidRPr="00DD1412" w:rsidRDefault="00794FEC" w:rsidP="00794FEC">
      <w:pPr>
        <w:spacing w:after="160" w:line="267" w:lineRule="auto"/>
        <w:contextualSpacing/>
        <w:jc w:val="both"/>
        <w:rPr>
          <w:rFonts w:ascii="Tahoma" w:eastAsia="Times New Roman" w:hAnsi="Tahoma" w:cs="Tahoma"/>
          <w:b/>
          <w:sz w:val="24"/>
          <w:szCs w:val="24"/>
          <w:lang w:val="it-IT"/>
        </w:rPr>
      </w:pPr>
      <w:r>
        <w:rPr>
          <w:rFonts w:ascii="Tahoma" w:eastAsia="Times New Roman" w:hAnsi="Tahoma" w:cs="Tahoma"/>
          <w:b/>
          <w:sz w:val="24"/>
          <w:szCs w:val="24"/>
          <w:lang w:val="it-IT"/>
        </w:rPr>
        <w:t>Modificări la Regulamentul de organizare și funcționare al serviciului public de salubrizare din județul Bistrița-Năsăud</w:t>
      </w:r>
    </w:p>
    <w:p w14:paraId="6EEE64F6" w14:textId="77777777" w:rsidR="00794FEC" w:rsidRDefault="00794FEC" w:rsidP="00794FEC">
      <w:pPr>
        <w:spacing w:after="160" w:line="267" w:lineRule="auto"/>
        <w:contextualSpacing/>
        <w:jc w:val="both"/>
        <w:rPr>
          <w:rFonts w:ascii="Tahoma" w:eastAsia="Times New Roman" w:hAnsi="Tahoma" w:cs="Tahoma"/>
          <w:b/>
          <w:sz w:val="24"/>
          <w:szCs w:val="24"/>
        </w:rPr>
      </w:pPr>
    </w:p>
    <w:p w14:paraId="4AA42CC6" w14:textId="1EE20683" w:rsidR="00794FEC" w:rsidRDefault="00794FEC" w:rsidP="00794FEC">
      <w:pPr>
        <w:spacing w:after="160" w:line="267" w:lineRule="auto"/>
        <w:contextualSpacing/>
        <w:jc w:val="both"/>
        <w:rPr>
          <w:rFonts w:ascii="Tahoma" w:eastAsia="Times New Roman" w:hAnsi="Tahoma" w:cs="Tahoma"/>
          <w:sz w:val="24"/>
          <w:szCs w:val="24"/>
        </w:rPr>
      </w:pPr>
      <w:r>
        <w:rPr>
          <w:rFonts w:ascii="Tahoma" w:eastAsia="Times New Roman" w:hAnsi="Tahoma" w:cs="Tahoma"/>
          <w:b/>
          <w:sz w:val="24"/>
          <w:szCs w:val="24"/>
        </w:rPr>
        <w:t>Art.1</w:t>
      </w:r>
      <w:r w:rsidRPr="007F0950">
        <w:rPr>
          <w:rFonts w:ascii="Tahoma" w:eastAsia="Times New Roman" w:hAnsi="Tahoma" w:cs="Tahoma"/>
          <w:b/>
          <w:sz w:val="24"/>
          <w:szCs w:val="24"/>
        </w:rPr>
        <w:t>.</w:t>
      </w:r>
      <w:r>
        <w:rPr>
          <w:rFonts w:ascii="Tahoma" w:eastAsia="Times New Roman" w:hAnsi="Tahoma" w:cs="Tahoma"/>
          <w:sz w:val="24"/>
          <w:szCs w:val="24"/>
        </w:rPr>
        <w:t xml:space="preserve"> </w:t>
      </w:r>
      <w:r w:rsidRPr="00853EB2">
        <w:rPr>
          <w:rFonts w:ascii="Tahoma" w:eastAsia="Times New Roman" w:hAnsi="Tahoma" w:cs="Tahoma"/>
          <w:b/>
          <w:sz w:val="24"/>
          <w:szCs w:val="24"/>
        </w:rPr>
        <w:t>Art. 14, alin. (1) din Regulamentul de salubrizare se modifică, se completează și va avea următorul conținut:</w:t>
      </w:r>
    </w:p>
    <w:p w14:paraId="17568811" w14:textId="77777777" w:rsidR="00794FEC" w:rsidRPr="003E27F8" w:rsidRDefault="00794FEC" w:rsidP="00794FEC">
      <w:pPr>
        <w:spacing w:after="160" w:line="267" w:lineRule="auto"/>
        <w:contextualSpacing/>
        <w:jc w:val="both"/>
        <w:rPr>
          <w:rFonts w:ascii="Tahoma" w:eastAsia="Times New Roman" w:hAnsi="Tahoma" w:cs="Tahoma"/>
          <w:i/>
          <w:sz w:val="24"/>
          <w:szCs w:val="24"/>
        </w:rPr>
      </w:pPr>
      <w:r w:rsidRPr="00F13E4D">
        <w:rPr>
          <w:rFonts w:ascii="Tahoma" w:eastAsia="Times New Roman" w:hAnsi="Tahoma" w:cs="Tahoma"/>
          <w:i/>
          <w:sz w:val="24"/>
          <w:szCs w:val="24"/>
        </w:rPr>
        <w:t xml:space="preserve">„ART. 14. </w:t>
      </w:r>
      <w:r w:rsidRPr="003E27F8">
        <w:rPr>
          <w:rFonts w:ascii="Tahoma" w:eastAsia="Times New Roman" w:hAnsi="Tahoma" w:cs="Tahoma"/>
          <w:i/>
          <w:sz w:val="24"/>
          <w:szCs w:val="24"/>
        </w:rPr>
        <w:t>(1) Următoarele fracții/tipuri de deșeuri municipale sunt colectate separat:</w:t>
      </w:r>
    </w:p>
    <w:p w14:paraId="6DAEA95F" w14:textId="77777777" w:rsidR="00794FEC" w:rsidRPr="003E27F8" w:rsidRDefault="00794FEC" w:rsidP="00794FEC">
      <w:pPr>
        <w:spacing w:after="160" w:line="267" w:lineRule="auto"/>
        <w:contextualSpacing/>
        <w:jc w:val="both"/>
        <w:rPr>
          <w:rFonts w:ascii="Tahoma" w:eastAsia="Times New Roman" w:hAnsi="Tahoma" w:cs="Tahoma"/>
          <w:i/>
          <w:sz w:val="24"/>
          <w:szCs w:val="24"/>
        </w:rPr>
      </w:pPr>
      <w:r w:rsidRPr="003E27F8">
        <w:rPr>
          <w:rFonts w:ascii="Tahoma" w:eastAsia="Times New Roman" w:hAnsi="Tahoma" w:cs="Tahoma"/>
          <w:i/>
          <w:sz w:val="24"/>
          <w:szCs w:val="24"/>
        </w:rPr>
        <w:t>a) deșeuri reciclabile de hârtie, metal, plastic și sticlă, inclusiv deșeuri de ambalaje, de la toți producătorii de deșeuri și din toate punctele de colectare, în fluxuri separate de la utilizatorii casnici și non-casnici;</w:t>
      </w:r>
    </w:p>
    <w:p w14:paraId="60A4A05D" w14:textId="77777777" w:rsidR="00794FEC" w:rsidRPr="003E27F8" w:rsidRDefault="00794FEC" w:rsidP="00794FEC">
      <w:pPr>
        <w:spacing w:after="160" w:line="267" w:lineRule="auto"/>
        <w:contextualSpacing/>
        <w:jc w:val="both"/>
        <w:rPr>
          <w:rFonts w:ascii="Tahoma" w:eastAsia="Times New Roman" w:hAnsi="Tahoma" w:cs="Tahoma"/>
          <w:i/>
          <w:sz w:val="24"/>
          <w:szCs w:val="24"/>
        </w:rPr>
      </w:pPr>
      <w:r w:rsidRPr="003E27F8">
        <w:rPr>
          <w:rFonts w:ascii="Tahoma" w:eastAsia="Times New Roman" w:hAnsi="Tahoma" w:cs="Tahoma"/>
          <w:i/>
          <w:sz w:val="24"/>
          <w:szCs w:val="24"/>
        </w:rPr>
        <w:t>b) deșeuri reziduale, de la toți utilizatorii și din toate punctele de colectare. Se va asigura colectarea separată și transportul separat al deșeurilor reziduale de la platformele publice din zona de blocuri a localităților urbane, într-un flux distinct de cel din zona de case, în fluxuri separate de la utilizatori casnici și non- casnici;</w:t>
      </w:r>
    </w:p>
    <w:p w14:paraId="26A8FD8F" w14:textId="77777777" w:rsidR="00794FEC" w:rsidRPr="003E27F8" w:rsidRDefault="00794FEC" w:rsidP="00794FEC">
      <w:pPr>
        <w:spacing w:after="160" w:line="267" w:lineRule="auto"/>
        <w:contextualSpacing/>
        <w:jc w:val="both"/>
        <w:rPr>
          <w:rFonts w:ascii="Tahoma" w:eastAsia="Times New Roman" w:hAnsi="Tahoma" w:cs="Tahoma"/>
          <w:i/>
          <w:sz w:val="24"/>
          <w:szCs w:val="24"/>
        </w:rPr>
      </w:pPr>
      <w:r w:rsidRPr="003E27F8">
        <w:rPr>
          <w:rFonts w:ascii="Tahoma" w:eastAsia="Times New Roman" w:hAnsi="Tahoma" w:cs="Tahoma"/>
          <w:i/>
          <w:sz w:val="24"/>
          <w:szCs w:val="24"/>
        </w:rPr>
        <w:t xml:space="preserve">c) </w:t>
      </w:r>
      <w:r w:rsidRPr="00EE2BE3">
        <w:rPr>
          <w:rFonts w:ascii="Tahoma" w:eastAsia="Times New Roman" w:hAnsi="Tahoma" w:cs="Tahoma"/>
          <w:i/>
          <w:sz w:val="24"/>
          <w:szCs w:val="24"/>
        </w:rPr>
        <w:t>deșeuri biodegradabile (predominant vegetale) din toate punctele de colectare de pe platformele publice din zona de blocuri din mediul urban, într-un flux distinct față de deșeurile reziduale și în fluxuri separate de la utilizatorii casnici și non-casnici;</w:t>
      </w:r>
      <w:r w:rsidRPr="003E27F8">
        <w:rPr>
          <w:rFonts w:ascii="Tahoma" w:eastAsia="Times New Roman" w:hAnsi="Tahoma" w:cs="Tahoma"/>
          <w:i/>
          <w:sz w:val="24"/>
          <w:szCs w:val="24"/>
        </w:rPr>
        <w:t>;</w:t>
      </w:r>
    </w:p>
    <w:p w14:paraId="3C140E66" w14:textId="77777777" w:rsidR="00794FEC" w:rsidRPr="003E27F8" w:rsidRDefault="00794FEC" w:rsidP="00794FEC">
      <w:pPr>
        <w:spacing w:after="160" w:line="267" w:lineRule="auto"/>
        <w:contextualSpacing/>
        <w:jc w:val="both"/>
        <w:rPr>
          <w:rFonts w:ascii="Tahoma" w:eastAsia="Times New Roman" w:hAnsi="Tahoma" w:cs="Tahoma"/>
          <w:i/>
          <w:sz w:val="24"/>
          <w:szCs w:val="24"/>
        </w:rPr>
      </w:pPr>
      <w:r w:rsidRPr="003E27F8">
        <w:rPr>
          <w:rFonts w:ascii="Tahoma" w:eastAsia="Times New Roman" w:hAnsi="Tahoma" w:cs="Tahoma"/>
          <w:i/>
          <w:sz w:val="24"/>
          <w:szCs w:val="24"/>
        </w:rPr>
        <w:t xml:space="preserve">d) deșeurile biodegradabile (predomninat vegetale) de la utilizatorii </w:t>
      </w:r>
      <w:r>
        <w:rPr>
          <w:rFonts w:ascii="Tahoma" w:eastAsia="Times New Roman" w:hAnsi="Tahoma" w:cs="Tahoma"/>
          <w:i/>
          <w:sz w:val="24"/>
          <w:szCs w:val="24"/>
        </w:rPr>
        <w:t xml:space="preserve">toți </w:t>
      </w:r>
      <w:r w:rsidRPr="003E27F8">
        <w:rPr>
          <w:rFonts w:ascii="Tahoma" w:eastAsia="Times New Roman" w:hAnsi="Tahoma" w:cs="Tahoma"/>
          <w:i/>
          <w:sz w:val="24"/>
          <w:szCs w:val="24"/>
        </w:rPr>
        <w:t xml:space="preserve">serviciului în campaniile </w:t>
      </w:r>
      <w:r>
        <w:rPr>
          <w:rFonts w:ascii="Tahoma" w:eastAsia="Times New Roman" w:hAnsi="Tahoma" w:cs="Tahoma"/>
          <w:i/>
          <w:sz w:val="24"/>
          <w:szCs w:val="24"/>
        </w:rPr>
        <w:t xml:space="preserve">gratuite </w:t>
      </w:r>
      <w:r w:rsidRPr="003E27F8">
        <w:rPr>
          <w:rFonts w:ascii="Tahoma" w:eastAsia="Times New Roman" w:hAnsi="Tahoma" w:cs="Tahoma"/>
          <w:i/>
          <w:sz w:val="24"/>
          <w:szCs w:val="24"/>
        </w:rPr>
        <w:t>de colectare și de la autoritățile administrației publice locale, din întreținerea spațiilor verzi, pe baza de comandă, contra-cost.</w:t>
      </w:r>
    </w:p>
    <w:p w14:paraId="6879226A" w14:textId="77777777" w:rsidR="00794FEC" w:rsidRPr="003E27F8" w:rsidRDefault="00794FEC" w:rsidP="00794FEC">
      <w:pPr>
        <w:spacing w:after="160" w:line="267" w:lineRule="auto"/>
        <w:contextualSpacing/>
        <w:jc w:val="both"/>
        <w:rPr>
          <w:rFonts w:ascii="Tahoma" w:eastAsia="Times New Roman" w:hAnsi="Tahoma" w:cs="Tahoma"/>
          <w:i/>
          <w:sz w:val="24"/>
          <w:szCs w:val="24"/>
        </w:rPr>
      </w:pPr>
      <w:r w:rsidRPr="003E27F8">
        <w:rPr>
          <w:rFonts w:ascii="Tahoma" w:eastAsia="Times New Roman" w:hAnsi="Tahoma" w:cs="Tahoma"/>
          <w:i/>
          <w:sz w:val="24"/>
          <w:szCs w:val="24"/>
        </w:rPr>
        <w:t>e) deșeuri textile, de la toți utilizatorii, în cadrul frecvențelor de colectare și/sau din toate punctele de colectare sau, după caz, de la toate punctele/spațiile special amenajate și dotate cu containere/recipiente specifice colectării acestor deșeuri, stabilite de către autoritățile administrației publice locale, inclusiv colectarea pe bază de comandă, contra-cost;</w:t>
      </w:r>
    </w:p>
    <w:p w14:paraId="0A2A21AA" w14:textId="77777777" w:rsidR="00794FEC" w:rsidRDefault="00794FEC" w:rsidP="00794FEC">
      <w:pPr>
        <w:spacing w:after="160" w:line="267" w:lineRule="auto"/>
        <w:contextualSpacing/>
        <w:jc w:val="both"/>
        <w:rPr>
          <w:rFonts w:ascii="Tahoma" w:eastAsia="Times New Roman" w:hAnsi="Tahoma" w:cs="Tahoma"/>
          <w:i/>
          <w:sz w:val="24"/>
          <w:szCs w:val="24"/>
        </w:rPr>
      </w:pPr>
      <w:r w:rsidRPr="003E27F8">
        <w:rPr>
          <w:rFonts w:ascii="Tahoma" w:eastAsia="Times New Roman" w:hAnsi="Tahoma" w:cs="Tahoma"/>
          <w:i/>
          <w:sz w:val="24"/>
          <w:szCs w:val="24"/>
        </w:rPr>
        <w:t>f) deșeuri periculoase din deșeurile menajere, de la toți utilizatorii casnici, prin campanii de colectare;</w:t>
      </w:r>
      <w:r>
        <w:rPr>
          <w:rFonts w:ascii="Tahoma" w:eastAsia="Times New Roman" w:hAnsi="Tahoma" w:cs="Tahoma"/>
          <w:i/>
          <w:sz w:val="24"/>
          <w:szCs w:val="24"/>
        </w:rPr>
        <w:t>”</w:t>
      </w:r>
    </w:p>
    <w:p w14:paraId="0D5A327B" w14:textId="77777777" w:rsidR="00794FEC" w:rsidRDefault="00794FEC" w:rsidP="00794FEC">
      <w:pPr>
        <w:spacing w:after="160" w:line="267" w:lineRule="auto"/>
        <w:contextualSpacing/>
        <w:jc w:val="both"/>
        <w:rPr>
          <w:rFonts w:ascii="Tahoma" w:eastAsia="Times New Roman" w:hAnsi="Tahoma" w:cs="Tahoma"/>
          <w:sz w:val="24"/>
          <w:szCs w:val="24"/>
        </w:rPr>
      </w:pPr>
    </w:p>
    <w:p w14:paraId="584F433E" w14:textId="77777777" w:rsidR="00794FEC" w:rsidRDefault="00794FEC" w:rsidP="00794FEC">
      <w:pPr>
        <w:spacing w:after="160" w:line="267" w:lineRule="auto"/>
        <w:contextualSpacing/>
        <w:jc w:val="both"/>
        <w:rPr>
          <w:rFonts w:ascii="Tahoma" w:eastAsia="Times New Roman" w:hAnsi="Tahoma" w:cs="Tahoma"/>
          <w:b/>
          <w:sz w:val="24"/>
          <w:szCs w:val="24"/>
        </w:rPr>
      </w:pPr>
      <w:r w:rsidRPr="00F13E4D">
        <w:rPr>
          <w:rFonts w:ascii="Tahoma" w:eastAsia="Times New Roman" w:hAnsi="Tahoma" w:cs="Tahoma"/>
          <w:b/>
          <w:sz w:val="24"/>
          <w:szCs w:val="24"/>
        </w:rPr>
        <w:t>Art. 2.</w:t>
      </w:r>
      <w:r>
        <w:rPr>
          <w:rFonts w:ascii="Tahoma" w:eastAsia="Times New Roman" w:hAnsi="Tahoma" w:cs="Tahoma"/>
          <w:b/>
          <w:sz w:val="24"/>
          <w:szCs w:val="24"/>
        </w:rPr>
        <w:t xml:space="preserve"> Art. 17, alin. (10) din Regulamentul de salubrizare se modifică și va avea următorul conținut:</w:t>
      </w:r>
    </w:p>
    <w:p w14:paraId="73D381F4" w14:textId="77777777" w:rsidR="00794FEC" w:rsidRPr="00853EB2"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D73784">
        <w:rPr>
          <w:rFonts w:ascii="Tahoma" w:eastAsia="Times New Roman" w:hAnsi="Tahoma" w:cs="Tahoma"/>
          <w:i/>
          <w:sz w:val="24"/>
          <w:szCs w:val="24"/>
        </w:rPr>
        <w:t>(10)</w:t>
      </w:r>
      <w:r w:rsidRPr="00D73784">
        <w:rPr>
          <w:rFonts w:ascii="Tahoma" w:eastAsia="Times New Roman" w:hAnsi="Tahoma" w:cs="Tahoma"/>
          <w:i/>
          <w:sz w:val="24"/>
          <w:szCs w:val="24"/>
        </w:rPr>
        <w:tab/>
        <w:t xml:space="preserve">În mediul de rezidență rural și în mediul urban, zona de case se va promova reciclarea la sursă a biodeșeurilor (compostarea individuală). Cantitatea de biodeșeuri reciclate la sursă pe persoană care se ia în considerare de către delegatar la calcul ratei de reciclare nu trebuie să depășească în niciun caz cantitatea medie de deșeuri menajere pe cap de locuitor corespunzătoare indicelui de generare pentru mediul rural </w:t>
      </w:r>
      <w:r w:rsidRPr="00D73784">
        <w:rPr>
          <w:rFonts w:ascii="Tahoma" w:eastAsia="Times New Roman" w:hAnsi="Tahoma" w:cs="Tahoma"/>
          <w:i/>
          <w:sz w:val="24"/>
          <w:szCs w:val="24"/>
        </w:rPr>
        <w:lastRenderedPageBreak/>
        <w:t xml:space="preserve">(kg/locuitor/zi), prevăzut în planul județean de gestionare a deșeurilor, conform prevederilor pct. 4 (b) din Metodologia de calcul al biodeşeurilor municipale separate se reciclate la sursă prevăzută în anexa nr. II la Decizia de punere în aplicare (UE) 2019/1.004 a Comisiei din 7 iunie 2019 de stabilire a normelor pentru calculul, verificarea și raportarea datelor privind deșeurile în conformitate cu Directiva 2008/98/CE a Parlamentului European și a Consiliului și de abrogare a Deciziei de punere în aplicare C(2012) 2.384 a Comisiei. </w:t>
      </w:r>
      <w:r>
        <w:rPr>
          <w:rFonts w:ascii="Tahoma" w:eastAsia="Times New Roman" w:hAnsi="Tahoma" w:cs="Tahoma"/>
          <w:i/>
          <w:sz w:val="24"/>
          <w:szCs w:val="24"/>
        </w:rPr>
        <w:t>”</w:t>
      </w:r>
    </w:p>
    <w:p w14:paraId="142D6514" w14:textId="77777777" w:rsidR="00794FEC" w:rsidRDefault="00794FEC" w:rsidP="00794FEC">
      <w:pPr>
        <w:spacing w:after="160" w:line="267" w:lineRule="auto"/>
        <w:contextualSpacing/>
        <w:jc w:val="both"/>
        <w:rPr>
          <w:rFonts w:ascii="Tahoma" w:eastAsia="Times New Roman" w:hAnsi="Tahoma" w:cs="Tahoma"/>
          <w:b/>
          <w:sz w:val="24"/>
          <w:szCs w:val="24"/>
        </w:rPr>
      </w:pPr>
    </w:p>
    <w:p w14:paraId="2C8B786C" w14:textId="77777777" w:rsidR="00794FEC"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 xml:space="preserve">Art. 3. Art. 17 din Regulamentul de salubrizare se completează cu alineatele (11) și (12), care vor avea următorul conținut: </w:t>
      </w:r>
    </w:p>
    <w:p w14:paraId="7D979DFF" w14:textId="77777777" w:rsidR="00794FEC" w:rsidRPr="00327B6E" w:rsidRDefault="00794FEC" w:rsidP="00794FEC">
      <w:pPr>
        <w:spacing w:after="160" w:line="267" w:lineRule="auto"/>
        <w:contextualSpacing/>
        <w:jc w:val="both"/>
        <w:rPr>
          <w:rFonts w:ascii="Tahoma" w:eastAsia="Times New Roman" w:hAnsi="Tahoma" w:cs="Tahoma"/>
          <w:i/>
          <w:sz w:val="24"/>
          <w:szCs w:val="24"/>
        </w:rPr>
      </w:pPr>
      <w:r w:rsidRPr="00853EB2">
        <w:rPr>
          <w:rFonts w:ascii="Tahoma" w:eastAsia="Times New Roman" w:hAnsi="Tahoma" w:cs="Tahoma"/>
          <w:i/>
          <w:sz w:val="24"/>
          <w:szCs w:val="24"/>
        </w:rPr>
        <w:t xml:space="preserve"> </w:t>
      </w:r>
      <w:r>
        <w:rPr>
          <w:rFonts w:ascii="Tahoma" w:eastAsia="Times New Roman" w:hAnsi="Tahoma" w:cs="Tahoma"/>
          <w:i/>
          <w:sz w:val="24"/>
          <w:szCs w:val="24"/>
        </w:rPr>
        <w:t>„</w:t>
      </w:r>
      <w:r w:rsidRPr="00327B6E">
        <w:rPr>
          <w:rFonts w:ascii="Tahoma" w:eastAsia="Times New Roman" w:hAnsi="Tahoma" w:cs="Tahoma"/>
          <w:i/>
          <w:sz w:val="24"/>
          <w:szCs w:val="24"/>
        </w:rPr>
        <w:t>(11)</w:t>
      </w:r>
      <w:r w:rsidRPr="00327B6E">
        <w:rPr>
          <w:rFonts w:ascii="Tahoma" w:eastAsia="Times New Roman" w:hAnsi="Tahoma" w:cs="Tahoma"/>
          <w:i/>
          <w:sz w:val="24"/>
          <w:szCs w:val="24"/>
        </w:rPr>
        <w:tab/>
        <w:t xml:space="preserve">Modalitatea de calcul, stabilire și cuantificare a cantităților de biodeșeuri reciclate la sursă, este prevăzută în cadrul Anexei nr. 9 la prezentul Regulament- Procedura de compostare a deșeurilor biodegradabile în gospodăriile individuale- „Metodologie privind monitorizarea și determinarea cantităților de biodeșeuri compostate individual”, elaborată în conformitate cu anexa nr. II la Decizia de punere în aplicare (UE) 2019/1.004. </w:t>
      </w:r>
    </w:p>
    <w:p w14:paraId="3C954CE1" w14:textId="77777777" w:rsidR="00794FEC" w:rsidRDefault="00794FEC" w:rsidP="00794FEC">
      <w:pPr>
        <w:spacing w:after="160" w:line="267" w:lineRule="auto"/>
        <w:contextualSpacing/>
        <w:jc w:val="both"/>
        <w:rPr>
          <w:rFonts w:ascii="Tahoma" w:eastAsia="Times New Roman" w:hAnsi="Tahoma" w:cs="Tahoma"/>
          <w:i/>
          <w:sz w:val="24"/>
          <w:szCs w:val="24"/>
        </w:rPr>
      </w:pPr>
      <w:r w:rsidRPr="00327B6E">
        <w:rPr>
          <w:rFonts w:ascii="Tahoma" w:eastAsia="Times New Roman" w:hAnsi="Tahoma" w:cs="Tahoma"/>
          <w:i/>
          <w:sz w:val="24"/>
          <w:szCs w:val="24"/>
        </w:rPr>
        <w:t>(12)</w:t>
      </w:r>
      <w:r w:rsidRPr="00327B6E">
        <w:rPr>
          <w:rFonts w:ascii="Tahoma" w:eastAsia="Times New Roman" w:hAnsi="Tahoma" w:cs="Tahoma"/>
          <w:i/>
          <w:sz w:val="24"/>
          <w:szCs w:val="24"/>
        </w:rPr>
        <w:tab/>
        <w:t>Introducerea colectării separate a biodeșeurilor se va face cu asigurarea ratelor de capturare prevăzute în PNGD și cu adaptarea la infrastructura de tratare de la nivelul SMID Bistrița-Năsăud.</w:t>
      </w:r>
      <w:r>
        <w:rPr>
          <w:rFonts w:ascii="Tahoma" w:eastAsia="Times New Roman" w:hAnsi="Tahoma" w:cs="Tahoma"/>
          <w:i/>
          <w:sz w:val="24"/>
          <w:szCs w:val="24"/>
        </w:rPr>
        <w:t>”</w:t>
      </w:r>
    </w:p>
    <w:p w14:paraId="46B31659" w14:textId="77777777" w:rsidR="00794FEC" w:rsidRDefault="00794FEC" w:rsidP="00794FEC">
      <w:pPr>
        <w:spacing w:after="160" w:line="267" w:lineRule="auto"/>
        <w:contextualSpacing/>
        <w:jc w:val="both"/>
        <w:rPr>
          <w:rFonts w:ascii="Tahoma" w:eastAsia="Times New Roman" w:hAnsi="Tahoma" w:cs="Tahoma"/>
          <w:i/>
          <w:sz w:val="24"/>
          <w:szCs w:val="24"/>
        </w:rPr>
      </w:pPr>
    </w:p>
    <w:p w14:paraId="5F6D4087" w14:textId="77777777" w:rsidR="00794FEC"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4. Art. 19, alin. (1) din Regulamentul de salubrizare se modifică, se completează și va avea următorul conținut:</w:t>
      </w:r>
    </w:p>
    <w:p w14:paraId="7D515FF8" w14:textId="77777777" w:rsidR="00794FEC" w:rsidRPr="0049171A" w:rsidRDefault="00794FEC" w:rsidP="00794FEC">
      <w:pPr>
        <w:pStyle w:val="Listparagraf"/>
        <w:tabs>
          <w:tab w:val="left" w:pos="45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„ART. 19. (1) Colectarea</w:t>
      </w:r>
      <w:r w:rsidRPr="0049171A">
        <w:rPr>
          <w:rFonts w:ascii="Tahoma" w:eastAsia="Times New Roman" w:hAnsi="Tahoma" w:cs="Tahoma"/>
          <w:b/>
          <w:i/>
          <w:sz w:val="24"/>
          <w:szCs w:val="24"/>
        </w:rPr>
        <w:t xml:space="preserve"> </w:t>
      </w:r>
      <w:r w:rsidRPr="0049171A">
        <w:rPr>
          <w:rFonts w:ascii="Tahoma" w:eastAsia="Times New Roman" w:hAnsi="Tahoma" w:cs="Tahoma"/>
          <w:i/>
          <w:sz w:val="24"/>
          <w:szCs w:val="24"/>
        </w:rPr>
        <w:t>deșeurilor</w:t>
      </w:r>
      <w:r w:rsidRPr="0049171A">
        <w:rPr>
          <w:rFonts w:ascii="Tahoma" w:eastAsia="Times New Roman" w:hAnsi="Tahoma" w:cs="Tahoma"/>
          <w:b/>
          <w:i/>
          <w:sz w:val="24"/>
          <w:szCs w:val="24"/>
        </w:rPr>
        <w:t xml:space="preserve"> </w:t>
      </w:r>
      <w:r w:rsidRPr="0049171A">
        <w:rPr>
          <w:rFonts w:ascii="Tahoma" w:eastAsia="Times New Roman" w:hAnsi="Tahoma" w:cs="Tahoma"/>
          <w:i/>
          <w:sz w:val="24"/>
          <w:szCs w:val="24"/>
        </w:rPr>
        <w:t>municipale,</w:t>
      </w:r>
      <w:r w:rsidRPr="0049171A">
        <w:rPr>
          <w:rFonts w:ascii="Tahoma" w:eastAsia="Times New Roman" w:hAnsi="Tahoma" w:cs="Tahoma"/>
          <w:b/>
          <w:i/>
          <w:sz w:val="24"/>
          <w:szCs w:val="24"/>
        </w:rPr>
        <w:t xml:space="preserve"> </w:t>
      </w:r>
      <w:r w:rsidRPr="0049171A">
        <w:rPr>
          <w:rFonts w:ascii="Tahoma" w:eastAsia="Times New Roman" w:hAnsi="Tahoma" w:cs="Tahoma"/>
          <w:i/>
          <w:sz w:val="24"/>
          <w:szCs w:val="24"/>
        </w:rPr>
        <w:t>se realizează numai</w:t>
      </w:r>
      <w:r w:rsidRPr="0049171A">
        <w:rPr>
          <w:rFonts w:ascii="Tahoma" w:eastAsia="Times New Roman" w:hAnsi="Tahoma" w:cs="Tahoma"/>
          <w:b/>
          <w:i/>
          <w:sz w:val="24"/>
          <w:szCs w:val="24"/>
        </w:rPr>
        <w:t xml:space="preserve"> </w:t>
      </w:r>
      <w:r w:rsidRPr="0049171A">
        <w:rPr>
          <w:rFonts w:ascii="Tahoma" w:eastAsia="Times New Roman" w:hAnsi="Tahoma" w:cs="Tahoma"/>
          <w:i/>
          <w:sz w:val="24"/>
          <w:szCs w:val="24"/>
        </w:rPr>
        <w:t>în</w:t>
      </w:r>
      <w:r w:rsidRPr="0049171A">
        <w:rPr>
          <w:rFonts w:ascii="Tahoma" w:eastAsia="Times New Roman" w:hAnsi="Tahoma" w:cs="Tahoma"/>
          <w:b/>
          <w:i/>
          <w:sz w:val="24"/>
          <w:szCs w:val="24"/>
        </w:rPr>
        <w:t xml:space="preserve"> </w:t>
      </w:r>
      <w:r w:rsidRPr="0049171A">
        <w:rPr>
          <w:rFonts w:ascii="Tahoma" w:eastAsia="Times New Roman" w:hAnsi="Tahoma" w:cs="Tahoma"/>
          <w:i/>
          <w:sz w:val="24"/>
          <w:szCs w:val="24"/>
        </w:rPr>
        <w:t>următorii</w:t>
      </w:r>
      <w:r w:rsidRPr="0049171A">
        <w:rPr>
          <w:rFonts w:ascii="Tahoma" w:eastAsia="Times New Roman" w:hAnsi="Tahoma" w:cs="Tahoma"/>
          <w:b/>
          <w:i/>
          <w:sz w:val="24"/>
          <w:szCs w:val="24"/>
        </w:rPr>
        <w:t xml:space="preserve"> </w:t>
      </w:r>
      <w:r w:rsidRPr="0049171A">
        <w:rPr>
          <w:rFonts w:ascii="Tahoma" w:eastAsia="Times New Roman" w:hAnsi="Tahoma" w:cs="Tahoma"/>
          <w:i/>
          <w:sz w:val="24"/>
          <w:szCs w:val="24"/>
        </w:rPr>
        <w:t>recipienţi asigurați</w:t>
      </w:r>
      <w:r w:rsidRPr="0049171A">
        <w:rPr>
          <w:rFonts w:ascii="Tahoma" w:eastAsia="Times New Roman" w:hAnsi="Tahoma" w:cs="Tahoma"/>
          <w:b/>
          <w:i/>
          <w:sz w:val="24"/>
          <w:szCs w:val="24"/>
        </w:rPr>
        <w:t xml:space="preserve"> </w:t>
      </w:r>
      <w:r w:rsidRPr="0049171A">
        <w:rPr>
          <w:rFonts w:ascii="Tahoma" w:eastAsia="Times New Roman" w:hAnsi="Tahoma" w:cs="Tahoma"/>
          <w:i/>
          <w:sz w:val="24"/>
          <w:szCs w:val="24"/>
        </w:rPr>
        <w:t>de către Consiliul Județean Bistrița Năsăud/A.D.I. Deșeuri Bistrița-Năsăud</w:t>
      </w:r>
      <w:r w:rsidRPr="0049171A">
        <w:rPr>
          <w:rFonts w:ascii="Tahoma" w:eastAsia="Times New Roman" w:hAnsi="Tahoma" w:cs="Tahoma"/>
          <w:i/>
          <w:color w:val="000000"/>
          <w:sz w:val="24"/>
          <w:szCs w:val="24"/>
        </w:rPr>
        <w:t>/UAT-uri/constructor</w:t>
      </w:r>
      <w:r w:rsidRPr="0049171A">
        <w:rPr>
          <w:rFonts w:ascii="Tahoma" w:eastAsia="Times New Roman" w:hAnsi="Tahoma" w:cs="Tahoma"/>
          <w:i/>
          <w:color w:val="FF0000"/>
          <w:sz w:val="24"/>
          <w:szCs w:val="24"/>
        </w:rPr>
        <w:t xml:space="preserve"> </w:t>
      </w:r>
      <w:r w:rsidRPr="0049171A">
        <w:rPr>
          <w:rFonts w:ascii="Tahoma" w:eastAsia="Times New Roman" w:hAnsi="Tahoma" w:cs="Tahoma"/>
          <w:i/>
          <w:sz w:val="24"/>
          <w:szCs w:val="24"/>
        </w:rPr>
        <w:t>sau de către Operator, dotați cu sisteme digitale de identificare, numărare a golirii, transmisie a datelor, care permit aplicarea automată a instrumentului economic „Plătește Pentru Cât Arunci” după metoda frecvenței de colectare și a volumului ridicat lunar, asa cum se precizează în legislația incidentă :</w:t>
      </w:r>
    </w:p>
    <w:p w14:paraId="35DBA0A2"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reziduale din mediul urban - zona de blocuri:</w:t>
      </w:r>
    </w:p>
    <w:p w14:paraId="45AE444A"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 xml:space="preserve"> Se colectează în containere supraterane de 1100 l,  prevăzute cu sisteme de închidere care permite arondarea acestora exclusiv utilizatorilor din proximitate.  </w:t>
      </w:r>
    </w:p>
    <w:p w14:paraId="497E91C4"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 xml:space="preserve">Dimensionarea numărului acestora va fi efectuată de operator printr-o formulă care ia în calcul numărul de locatari, frecvența de colectare, indicatorii de performanță privind colectarea selectivă și volumul recipienților. </w:t>
      </w:r>
    </w:p>
    <w:p w14:paraId="17AADF9A"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Aceste containere vor fi prevăzute cu un tag RFID pentru identificare și  pentru numărarea automată a ridicărilor acestora de către autocompactoare dotate cu cititoare. Totodată, aceste sisteme digitale vor permite aplicarea instrumentului economic „Plătește Pentru Cât Arunci” (PPCA) prin aplicarea mecanismului tehnic prevăzut în Regulamentele de Instituire a Taxei de Salubrizare.</w:t>
      </w:r>
    </w:p>
    <w:p w14:paraId="1150D0CB"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 xml:space="preserve"> Pentru extinderea capacității de colectare, de la momentul punerii în operare a containerelor supraterane cu sistem de închidere, containerele semiîngropate, sunt </w:t>
      </w:r>
      <w:r w:rsidRPr="0049171A">
        <w:rPr>
          <w:rFonts w:ascii="Tahoma" w:eastAsia="Times New Roman" w:hAnsi="Tahoma" w:cs="Tahoma"/>
          <w:i/>
          <w:sz w:val="24"/>
          <w:szCs w:val="24"/>
        </w:rPr>
        <w:lastRenderedPageBreak/>
        <w:t>transformate și utilizate în continuare, după o prealabilă inscripționare, pentru colectarea separată a fracției reciclabile de plastic/metal, sau pentru colectarea separată a fracției de sticlă acolo unde platforma nu a fost prevăzută cu container semiîngropat pentru colectarea acestei fracții.</w:t>
      </w:r>
    </w:p>
    <w:p w14:paraId="6466B7E9" w14:textId="77777777" w:rsidR="00794FEC" w:rsidRPr="0049171A" w:rsidRDefault="00794FEC" w:rsidP="00794FEC">
      <w:pPr>
        <w:numPr>
          <w:ilvl w:val="1"/>
          <w:numId w:val="5"/>
        </w:numPr>
        <w:tabs>
          <w:tab w:val="left" w:pos="360"/>
        </w:tabs>
        <w:spacing w:after="200"/>
        <w:jc w:val="both"/>
        <w:rPr>
          <w:rFonts w:ascii="Tahoma" w:eastAsia="Times New Roman" w:hAnsi="Tahoma" w:cs="Tahoma"/>
          <w:i/>
          <w:sz w:val="24"/>
          <w:szCs w:val="24"/>
        </w:rPr>
      </w:pPr>
      <w:r w:rsidRPr="0049171A">
        <w:rPr>
          <w:rFonts w:ascii="Tahoma" w:eastAsia="Times New Roman" w:hAnsi="Tahoma" w:cs="Tahoma"/>
          <w:i/>
          <w:sz w:val="24"/>
          <w:szCs w:val="24"/>
        </w:rPr>
        <w:t>De asemenea, pentru zonele de blocuri din mediul urban, colectarea deșeurilor reziduale se poate face și din insulele ecologice digitalizate dotate cu recipiente/containere dedicate pentru colectarea selectivă a respectivelor deșeuri, acolo unde situația din teritoriu o impune.</w:t>
      </w:r>
    </w:p>
    <w:p w14:paraId="53AA6060"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Deșeurile biodegradabile (predominant vegetale) din mediul urban- zona de blocuri:</w:t>
      </w:r>
    </w:p>
    <w:p w14:paraId="4A4030F2"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se colectează din containere supraterane de 1100 l, de culoare maro sau special inscripționate pentru colectarea acestei fracții</w:t>
      </w:r>
    </w:p>
    <w:p w14:paraId="1BA2873D"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aceste containere se vor amplasa de către operatorul de colectare, câte un container pe fiecare platformă existentă din zonele de blocuri, prin înlocuirea câte unui container pentru deșeurile reziduale;</w:t>
      </w:r>
    </w:p>
    <w:p w14:paraId="452AE209"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containerele pentru deșeurile biodegradabile, vor avea aceleași caracteristici ca și cele aferente fracției reziduale;</w:t>
      </w:r>
    </w:p>
    <w:p w14:paraId="192E59ED"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deșeurile biodegradabile vor fi colectate separat de deșeurile reziduale și transportate separat la Stația de compostare din cadrul CMID.</w:t>
      </w:r>
    </w:p>
    <w:p w14:paraId="223C86BB"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De asemenea, pentru zonele de blocuri din mediul urban, colectarea deșeurilor biodegradabile se poate face și din insulele ecologice digitalizate dotate cu recipiente/containere dedicate pentru colectarea selectivă a respectivelor deșeuri, acolo unde situația din teritoriu o impune.</w:t>
      </w:r>
    </w:p>
    <w:p w14:paraId="07097F2A" w14:textId="77777777" w:rsidR="00794FEC" w:rsidRPr="0049171A" w:rsidRDefault="00794FEC" w:rsidP="00794FEC">
      <w:pPr>
        <w:pStyle w:val="Listparagraf"/>
        <w:tabs>
          <w:tab w:val="left" w:pos="360"/>
        </w:tabs>
        <w:spacing w:after="160" w:line="259" w:lineRule="auto"/>
        <w:ind w:left="0"/>
        <w:jc w:val="both"/>
        <w:rPr>
          <w:rFonts w:ascii="Tahoma" w:eastAsia="Times New Roman" w:hAnsi="Tahoma" w:cs="Tahoma"/>
          <w:i/>
          <w:sz w:val="24"/>
          <w:szCs w:val="24"/>
        </w:rPr>
      </w:pPr>
    </w:p>
    <w:p w14:paraId="12602FD3" w14:textId="77777777" w:rsidR="00794FEC" w:rsidRPr="0049171A" w:rsidRDefault="00794FEC" w:rsidP="00794FEC">
      <w:pPr>
        <w:pStyle w:val="Listparagraf"/>
        <w:numPr>
          <w:ilvl w:val="1"/>
          <w:numId w:val="4"/>
        </w:numPr>
        <w:tabs>
          <w:tab w:val="left" w:pos="360"/>
        </w:tabs>
        <w:spacing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u w:val="single"/>
        </w:rPr>
        <w:t>Deşeurile reziduale din mediul urban și rural - zona de case:</w:t>
      </w:r>
    </w:p>
    <w:p w14:paraId="0F1762A9" w14:textId="77777777" w:rsidR="00794FEC" w:rsidRPr="0049171A" w:rsidRDefault="00794FEC" w:rsidP="00794FEC">
      <w:pPr>
        <w:tabs>
          <w:tab w:val="left" w:pos="5580"/>
        </w:tabs>
        <w:jc w:val="both"/>
        <w:rPr>
          <w:rFonts w:ascii="Tahoma" w:eastAsia="Times New Roman" w:hAnsi="Tahoma" w:cs="Tahoma"/>
          <w:i/>
          <w:sz w:val="24"/>
          <w:szCs w:val="24"/>
        </w:rPr>
      </w:pPr>
      <w:r w:rsidRPr="0049171A">
        <w:rPr>
          <w:rFonts w:ascii="Tahoma" w:eastAsia="Times New Roman" w:hAnsi="Tahoma" w:cs="Tahoma"/>
          <w:i/>
          <w:sz w:val="24"/>
          <w:szCs w:val="24"/>
        </w:rPr>
        <w:t>-  Se colectează în pubele negre de 120 litri;</w:t>
      </w:r>
      <w:r w:rsidRPr="0049171A">
        <w:rPr>
          <w:rFonts w:ascii="Tahoma" w:eastAsia="Times New Roman" w:hAnsi="Tahoma" w:cs="Tahoma"/>
          <w:i/>
          <w:sz w:val="24"/>
          <w:szCs w:val="24"/>
        </w:rPr>
        <w:tab/>
      </w:r>
    </w:p>
    <w:p w14:paraId="0F3098EE"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biodegradabile (predominant vegetale) din mediul urban și rural- zona de case:</w:t>
      </w:r>
    </w:p>
    <w:p w14:paraId="5667AA64"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Se colectează separat și se reciclează la sursă (prin compostare individuală în gospodării) de către utilizatorii serviciului;</w:t>
      </w:r>
    </w:p>
    <w:p w14:paraId="6200A68D"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Deșeurile biodegradabile din zonele de case din mediul urban și mediul rural pot fi predate gratuit de către utilizatori în Centrele de colectare/ Stațiile de transfer, sau pot fi colectate pe bază de comandă, contra-cost.</w:t>
      </w:r>
    </w:p>
    <w:p w14:paraId="4E026276"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Autoritățile publice locale pot lua măsuri în ceea ce privește amplasarea de containere pentru deșeurile biodegradabile și în zonele de case, atât în mediul urban, cât și în mediul rural, caz în care, aceste containere vor fi incluse în schema de colectare, la frecvența solicitată, iar colectarea se va realiza pe bază de comandă.</w:t>
      </w:r>
    </w:p>
    <w:p w14:paraId="4C8830A4"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 xml:space="preserve">Operatorul de colectare, ADI și unitățile administrativ-teritoriale vor lua măsuri de informare a populației cu privire la introducerea colectării separate a biodeșeurilor, sistemele de colectare disponibile, procedurile de compostare și Măsurile prevăzute în documentele programatice de la nivel național, referitoare la dezvoltarea acțiunilor </w:t>
      </w:r>
      <w:r w:rsidRPr="0049171A">
        <w:rPr>
          <w:rFonts w:ascii="Tahoma" w:eastAsia="Times New Roman" w:hAnsi="Tahoma" w:cs="Tahoma"/>
          <w:i/>
          <w:sz w:val="24"/>
          <w:szCs w:val="24"/>
        </w:rPr>
        <w:lastRenderedPageBreak/>
        <w:t>existente privind reducerea generării deșeurilor, prin compostea individuală a biodeșeurilor.</w:t>
      </w:r>
    </w:p>
    <w:p w14:paraId="1FBEF360"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u w:val="single"/>
        </w:rPr>
        <w:t>Deșeurile reziduale – mediul urban din zona de blocuri de pe domeniul privat, zona de blocuri din mediul rural și zonele greu accesibile și mediul urban și mediul rural:</w:t>
      </w:r>
    </w:p>
    <w:p w14:paraId="7B8B5DA6"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se colectează din puncte de regrupare dotate de către operator cu containere de 1.100 litri prevăzute cu taguri RFID pentru identificare și citire;</w:t>
      </w:r>
    </w:p>
    <w:p w14:paraId="2C9496DA" w14:textId="77777777" w:rsidR="00794FEC" w:rsidRPr="0049171A" w:rsidRDefault="00794FEC" w:rsidP="00794FEC">
      <w:pPr>
        <w:pStyle w:val="Listparagraf"/>
        <w:numPr>
          <w:ilvl w:val="1"/>
          <w:numId w:val="4"/>
        </w:numPr>
        <w:spacing w:after="160" w:line="259" w:lineRule="auto"/>
        <w:ind w:left="0"/>
        <w:rPr>
          <w:rFonts w:ascii="Tahoma" w:eastAsia="Times New Roman" w:hAnsi="Tahoma" w:cs="Tahoma"/>
          <w:i/>
          <w:sz w:val="24"/>
          <w:szCs w:val="24"/>
          <w:u w:val="single"/>
        </w:rPr>
      </w:pPr>
      <w:r w:rsidRPr="0049171A">
        <w:rPr>
          <w:rFonts w:ascii="Tahoma" w:eastAsia="Times New Roman" w:hAnsi="Tahoma" w:cs="Tahoma"/>
          <w:i/>
          <w:sz w:val="24"/>
          <w:szCs w:val="24"/>
          <w:u w:val="single"/>
        </w:rPr>
        <w:t>Deșeurile biodegradabile (predominant vegetale)-</w:t>
      </w:r>
      <w:r w:rsidRPr="0049171A">
        <w:rPr>
          <w:i/>
        </w:rPr>
        <w:t xml:space="preserve"> </w:t>
      </w:r>
      <w:r w:rsidRPr="0049171A">
        <w:rPr>
          <w:rFonts w:ascii="Tahoma" w:eastAsia="Times New Roman" w:hAnsi="Tahoma" w:cs="Tahoma"/>
          <w:i/>
          <w:sz w:val="24"/>
          <w:szCs w:val="24"/>
          <w:u w:val="single"/>
        </w:rPr>
        <w:t>mediul urban din zona de blocuri de pe domeniul privat, zona de blocuri din mediul rural și zonele greu accesibile și mediul urban și mediul rural:</w:t>
      </w:r>
    </w:p>
    <w:p w14:paraId="5B6BF240" w14:textId="77777777" w:rsidR="00794FEC" w:rsidRPr="0049171A" w:rsidRDefault="00794FEC" w:rsidP="00794FEC">
      <w:pPr>
        <w:pStyle w:val="Listparagraf"/>
        <w:numPr>
          <w:ilvl w:val="1"/>
          <w:numId w:val="5"/>
        </w:numPr>
        <w:spacing w:after="160" w:line="259" w:lineRule="auto"/>
        <w:ind w:left="90"/>
        <w:rPr>
          <w:rFonts w:ascii="Tahoma" w:eastAsia="Times New Roman" w:hAnsi="Tahoma" w:cs="Tahoma"/>
          <w:i/>
          <w:sz w:val="24"/>
          <w:szCs w:val="24"/>
        </w:rPr>
      </w:pPr>
      <w:r w:rsidRPr="0049171A">
        <w:rPr>
          <w:rFonts w:ascii="Tahoma" w:eastAsia="Times New Roman" w:hAnsi="Tahoma" w:cs="Tahoma"/>
          <w:i/>
          <w:sz w:val="24"/>
          <w:szCs w:val="24"/>
        </w:rPr>
        <w:t>se colectează din puncte de regrupare dotate de către operator cu containere de 1.100 litri prevăzute cu taguri RFID pentru identificare și citire;</w:t>
      </w:r>
    </w:p>
    <w:p w14:paraId="57395EE9"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reziduale de la agenți economici/instituții publice:</w:t>
      </w:r>
    </w:p>
    <w:p w14:paraId="4EFAEC6E" w14:textId="77777777" w:rsidR="00794FEC" w:rsidRPr="0049171A" w:rsidRDefault="00794FEC" w:rsidP="00794FEC">
      <w:pPr>
        <w:jc w:val="both"/>
        <w:rPr>
          <w:rFonts w:ascii="Tahoma" w:eastAsia="Times New Roman" w:hAnsi="Tahoma" w:cs="Tahoma"/>
          <w:i/>
          <w:sz w:val="24"/>
          <w:szCs w:val="24"/>
        </w:rPr>
      </w:pPr>
      <w:r w:rsidRPr="0049171A">
        <w:rPr>
          <w:rFonts w:ascii="Tahoma" w:eastAsia="Times New Roman" w:hAnsi="Tahoma" w:cs="Tahoma"/>
          <w:i/>
          <w:sz w:val="24"/>
          <w:szCs w:val="24"/>
        </w:rPr>
        <w:t>-  se colectează în recipienți standardizați tip EN 840-1 proprii.</w:t>
      </w:r>
    </w:p>
    <w:p w14:paraId="0B4D255C"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biodegradabile de la agenții economici/ instituții publice:</w:t>
      </w:r>
    </w:p>
    <w:p w14:paraId="299EF564"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Se colectează în recipienți proprii, standardizați și special inscripționați;</w:t>
      </w:r>
    </w:p>
    <w:p w14:paraId="5238D54B"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Administrația piețelor agro-alimentare are obligația de a achiziționa containere pentru colectarea deșeurilor biodegradabile și de a informa comercianții cu privire la obligația colectării separate a acestei categorii de deșeuri;</w:t>
      </w:r>
    </w:p>
    <w:p w14:paraId="695B8186"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Operatorul va colecta separat acestă fracție și o va transporta separat la Stația de compostare din incinta CMID Tărpiu.</w:t>
      </w:r>
    </w:p>
    <w:p w14:paraId="7684E55E" w14:textId="77777777" w:rsidR="00794FEC" w:rsidRPr="0049171A" w:rsidRDefault="00794FEC" w:rsidP="00794FEC">
      <w:pPr>
        <w:pStyle w:val="Listparagraf"/>
        <w:numPr>
          <w:ilvl w:val="1"/>
          <w:numId w:val="5"/>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rPr>
        <w:t>Deșeurile biodegradabile predominant vegetale colectate de pe domeniul public al unităților administrativ-teritoriale, sau din containerele proprii ale acestora, la cerere,  intră în această categorie;</w:t>
      </w:r>
    </w:p>
    <w:p w14:paraId="6360325E" w14:textId="77777777" w:rsidR="00794FEC" w:rsidRPr="0049171A" w:rsidRDefault="00794FEC" w:rsidP="00794FEC">
      <w:pPr>
        <w:numPr>
          <w:ilvl w:val="1"/>
          <w:numId w:val="4"/>
        </w:numPr>
        <w:tabs>
          <w:tab w:val="left" w:pos="360"/>
        </w:tabs>
        <w:jc w:val="both"/>
        <w:rPr>
          <w:rFonts w:ascii="Tahoma" w:eastAsia="Times New Roman" w:hAnsi="Tahoma" w:cs="Tahoma"/>
          <w:b/>
          <w:i/>
          <w:sz w:val="24"/>
          <w:szCs w:val="24"/>
          <w:u w:val="single"/>
        </w:rPr>
      </w:pPr>
      <w:r w:rsidRPr="0049171A">
        <w:rPr>
          <w:rFonts w:ascii="Tahoma" w:eastAsia="Times New Roman" w:hAnsi="Tahoma" w:cs="Tahoma"/>
          <w:i/>
          <w:sz w:val="24"/>
          <w:szCs w:val="24"/>
          <w:u w:val="single"/>
        </w:rPr>
        <w:t>Deşeurile reciclabile de tip hârtie/carton din mediul urban - zona de blocuri:</w:t>
      </w:r>
    </w:p>
    <w:p w14:paraId="7C793DA6" w14:textId="77777777" w:rsidR="00794FEC" w:rsidRPr="0049171A" w:rsidRDefault="00794FEC" w:rsidP="00794FEC">
      <w:pPr>
        <w:numPr>
          <w:ilvl w:val="1"/>
          <w:numId w:val="5"/>
        </w:numPr>
        <w:tabs>
          <w:tab w:val="left" w:pos="0"/>
          <w:tab w:val="left" w:pos="360"/>
        </w:tabs>
        <w:jc w:val="both"/>
        <w:rPr>
          <w:rFonts w:ascii="Tahoma" w:eastAsia="Times New Roman" w:hAnsi="Tahoma" w:cs="Tahoma"/>
          <w:b/>
          <w:i/>
          <w:sz w:val="24"/>
          <w:szCs w:val="24"/>
        </w:rPr>
      </w:pPr>
      <w:r w:rsidRPr="0049171A">
        <w:rPr>
          <w:rFonts w:ascii="Tahoma" w:eastAsia="Times New Roman" w:hAnsi="Tahoma" w:cs="Tahoma"/>
          <w:i/>
          <w:sz w:val="24"/>
          <w:szCs w:val="24"/>
        </w:rPr>
        <w:t xml:space="preserve"> se colectează în containere semi-îngropate de 3 mc cu capac de culoare albastră.</w:t>
      </w:r>
    </w:p>
    <w:p w14:paraId="523F1306"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reciclabile de tip hârtie/carton mediul urban și rural zona de case:</w:t>
      </w:r>
    </w:p>
    <w:p w14:paraId="58C9A19F" w14:textId="77777777" w:rsidR="00794FEC" w:rsidRPr="0049171A" w:rsidRDefault="00794FEC" w:rsidP="00794FEC">
      <w:pPr>
        <w:numPr>
          <w:ilvl w:val="1"/>
          <w:numId w:val="5"/>
        </w:numPr>
        <w:tabs>
          <w:tab w:val="left" w:pos="270"/>
        </w:tabs>
        <w:jc w:val="both"/>
        <w:rPr>
          <w:rFonts w:ascii="Tahoma" w:eastAsia="Times New Roman" w:hAnsi="Tahoma" w:cs="Tahoma"/>
          <w:i/>
          <w:sz w:val="24"/>
          <w:szCs w:val="24"/>
        </w:rPr>
      </w:pPr>
      <w:r w:rsidRPr="0049171A">
        <w:rPr>
          <w:rFonts w:ascii="Tahoma" w:eastAsia="Times New Roman" w:hAnsi="Tahoma" w:cs="Tahoma"/>
          <w:i/>
          <w:sz w:val="24"/>
          <w:szCs w:val="24"/>
        </w:rPr>
        <w:t>se colectează din pubele de 240 l prevăzute cu RFID de culoare albastră.</w:t>
      </w:r>
    </w:p>
    <w:p w14:paraId="4A4A45CD"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reciclabile de tip hârtie/carton – mediul urban zona de blocuri de pe domeniul privat, zona de blocuri din mediul rural și zonele greu accesibile din mediul urban și mediul rural:</w:t>
      </w:r>
    </w:p>
    <w:p w14:paraId="1E6498AD"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se colectează din puncte de regrupare dotate cu containere de 1.100 litri prevăzute cu taguri RFID și inscripționate cu denumirea fracției – hârtie/carton.</w:t>
      </w:r>
    </w:p>
    <w:p w14:paraId="1441D81A" w14:textId="77777777" w:rsidR="00794FEC" w:rsidRPr="0049171A" w:rsidRDefault="00794FEC" w:rsidP="00794FEC">
      <w:pPr>
        <w:numPr>
          <w:ilvl w:val="1"/>
          <w:numId w:val="4"/>
        </w:numPr>
        <w:tabs>
          <w:tab w:val="left" w:pos="360"/>
        </w:tabs>
        <w:jc w:val="both"/>
        <w:rPr>
          <w:rFonts w:ascii="Tahoma" w:eastAsia="Times New Roman" w:hAnsi="Tahoma" w:cs="Tahoma"/>
          <w:b/>
          <w:i/>
          <w:sz w:val="24"/>
          <w:szCs w:val="24"/>
          <w:u w:val="single"/>
        </w:rPr>
      </w:pPr>
      <w:r w:rsidRPr="0049171A">
        <w:rPr>
          <w:rFonts w:ascii="Tahoma" w:eastAsia="Times New Roman" w:hAnsi="Tahoma" w:cs="Tahoma"/>
          <w:i/>
          <w:sz w:val="24"/>
          <w:szCs w:val="24"/>
          <w:u w:val="single"/>
        </w:rPr>
        <w:t>Deşeurile reciclabile de tip plastic/metal din mediul urban - zona de blocuri:</w:t>
      </w:r>
    </w:p>
    <w:p w14:paraId="3D0C1A36" w14:textId="77777777" w:rsidR="00794FEC" w:rsidRPr="0049171A" w:rsidRDefault="00794FEC" w:rsidP="00794FEC">
      <w:pPr>
        <w:numPr>
          <w:ilvl w:val="1"/>
          <w:numId w:val="5"/>
        </w:numPr>
        <w:tabs>
          <w:tab w:val="left" w:pos="360"/>
        </w:tabs>
        <w:jc w:val="both"/>
        <w:rPr>
          <w:rFonts w:ascii="Tahoma" w:eastAsia="Times New Roman" w:hAnsi="Tahoma" w:cs="Tahoma"/>
          <w:b/>
          <w:i/>
          <w:sz w:val="24"/>
          <w:szCs w:val="24"/>
        </w:rPr>
      </w:pPr>
      <w:r w:rsidRPr="0049171A">
        <w:rPr>
          <w:rFonts w:ascii="Tahoma" w:eastAsia="Times New Roman" w:hAnsi="Tahoma" w:cs="Tahoma"/>
          <w:i/>
          <w:sz w:val="24"/>
          <w:szCs w:val="24"/>
        </w:rPr>
        <w:t xml:space="preserve"> se colectează în containere semi-îngropate de 3 mc cu capac de culoare galbenă.</w:t>
      </w:r>
    </w:p>
    <w:p w14:paraId="14566F5F"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reciclabile de tip plastic/metal mediul urban și rural zona de case:</w:t>
      </w:r>
    </w:p>
    <w:p w14:paraId="52FB5C9D"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se colectează din pubele prevăzute cu RFID de culoare galbenă.</w:t>
      </w:r>
    </w:p>
    <w:p w14:paraId="101CC95B"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Deșeurile reciclabile de tip plastic/metal – mediul urban zona de blocuri de pe domeniul privat, zona de blocuri din mediul rural și zonele greu accesibile din mediul urban și mediul rural:</w:t>
      </w:r>
    </w:p>
    <w:p w14:paraId="3B656520"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se colectează din puncte de regrupare dotate cu containere de 1.100 litri prevăzute cu tag-uri RFID și inscripționate cu denumirea fracției – plastic/metal.</w:t>
      </w:r>
    </w:p>
    <w:p w14:paraId="3BE557E3" w14:textId="77777777" w:rsidR="00794FEC" w:rsidRPr="0049171A" w:rsidRDefault="00794FEC" w:rsidP="00794FEC">
      <w:pPr>
        <w:numPr>
          <w:ilvl w:val="1"/>
          <w:numId w:val="4"/>
        </w:numPr>
        <w:tabs>
          <w:tab w:val="left" w:pos="360"/>
        </w:tabs>
        <w:jc w:val="both"/>
        <w:rPr>
          <w:rFonts w:ascii="Tahoma" w:eastAsia="Times New Roman" w:hAnsi="Tahoma" w:cs="Tahoma"/>
          <w:b/>
          <w:i/>
          <w:sz w:val="24"/>
          <w:szCs w:val="24"/>
          <w:u w:val="single"/>
        </w:rPr>
      </w:pPr>
      <w:r w:rsidRPr="0049171A">
        <w:rPr>
          <w:rFonts w:ascii="Tahoma" w:eastAsia="Times New Roman" w:hAnsi="Tahoma" w:cs="Tahoma"/>
          <w:i/>
          <w:sz w:val="24"/>
          <w:szCs w:val="24"/>
          <w:u w:val="single"/>
        </w:rPr>
        <w:lastRenderedPageBreak/>
        <w:t>Deşeurile reciclabile de tip sticlă din mediul urban - zona de blocuri:</w:t>
      </w:r>
    </w:p>
    <w:p w14:paraId="68698271" w14:textId="77777777" w:rsidR="00794FEC" w:rsidRPr="0049171A" w:rsidRDefault="00794FEC" w:rsidP="00794FEC">
      <w:pPr>
        <w:numPr>
          <w:ilvl w:val="1"/>
          <w:numId w:val="5"/>
        </w:numPr>
        <w:tabs>
          <w:tab w:val="left" w:pos="360"/>
        </w:tabs>
        <w:jc w:val="both"/>
        <w:rPr>
          <w:rFonts w:ascii="Tahoma" w:eastAsia="Times New Roman" w:hAnsi="Tahoma" w:cs="Tahoma"/>
          <w:b/>
          <w:i/>
          <w:sz w:val="24"/>
          <w:szCs w:val="24"/>
        </w:rPr>
      </w:pPr>
      <w:r w:rsidRPr="0049171A">
        <w:rPr>
          <w:rFonts w:ascii="Tahoma" w:eastAsia="Times New Roman" w:hAnsi="Tahoma" w:cs="Tahoma"/>
          <w:i/>
          <w:sz w:val="24"/>
          <w:szCs w:val="24"/>
        </w:rPr>
        <w:t xml:space="preserve"> se colectează în containere semi-îngropate de 3 mc cu capac de culoare verde.</w:t>
      </w:r>
    </w:p>
    <w:p w14:paraId="32BE273B"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Deşeurile reciclabile de tip sticlă mediul urban și rural zona de case:</w:t>
      </w:r>
    </w:p>
    <w:p w14:paraId="43F3D7C7"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se colectează din pubele de 120 l prevăzute cu RFID, de culoare verde.</w:t>
      </w:r>
    </w:p>
    <w:p w14:paraId="7CA9C2DC"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 xml:space="preserve"> Deșeurile reciclabile de tip sticlă – mediul urban zona de blocuri de pe domeniul privat, zona de blocuri din mediul rural și zonele greu accesibile din mediul urban și mediul rural:</w:t>
      </w:r>
    </w:p>
    <w:p w14:paraId="17A55C66"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se colectează din puncte de regrupare dotate cu containere de 1.100 litri prevăzute cu taguri RFID și inscripționate cu denumirea fracției – sticlă.</w:t>
      </w:r>
    </w:p>
    <w:p w14:paraId="3DD66CE0"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Nu este permis amestecul sticlei cu deșeurile din materiale de tip porțelan sau ceramică.</w:t>
      </w:r>
    </w:p>
    <w:p w14:paraId="661BB393"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u w:val="single"/>
        </w:rPr>
      </w:pPr>
      <w:r w:rsidRPr="0049171A">
        <w:rPr>
          <w:rFonts w:ascii="Tahoma" w:eastAsia="Times New Roman" w:hAnsi="Tahoma" w:cs="Tahoma"/>
          <w:i/>
          <w:sz w:val="24"/>
          <w:szCs w:val="24"/>
          <w:u w:val="single"/>
        </w:rPr>
        <w:t>Pentru colectarea deșeurilor reciclabile - plastic/metal, hârtie/carton, sticlă - agenții economici/instituțiile publice</w:t>
      </w:r>
    </w:p>
    <w:p w14:paraId="4FC50550" w14:textId="77777777" w:rsidR="00794FEC" w:rsidRPr="0049171A" w:rsidRDefault="00794FEC" w:rsidP="00794FEC">
      <w:pPr>
        <w:numPr>
          <w:ilvl w:val="1"/>
          <w:numId w:val="5"/>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rPr>
        <w:t>se vor utiliza recipienți standardizati tip EN 840-1. Recipienții vor fi separați și de culori diferite, pentru fiecare fracție în parte.</w:t>
      </w:r>
    </w:p>
    <w:p w14:paraId="5469B204" w14:textId="77777777" w:rsidR="00794FEC" w:rsidRPr="0049171A" w:rsidRDefault="00794FEC" w:rsidP="00794FEC">
      <w:pPr>
        <w:jc w:val="both"/>
        <w:rPr>
          <w:rFonts w:ascii="Tahoma" w:eastAsia="Times New Roman" w:hAnsi="Tahoma" w:cs="Tahoma"/>
          <w:i/>
          <w:sz w:val="24"/>
          <w:szCs w:val="24"/>
        </w:rPr>
      </w:pPr>
      <w:r w:rsidRPr="0049171A">
        <w:rPr>
          <w:rFonts w:ascii="Tahoma" w:eastAsia="Times New Roman" w:hAnsi="Tahoma" w:cs="Tahoma"/>
          <w:i/>
          <w:sz w:val="24"/>
          <w:szCs w:val="24"/>
        </w:rPr>
        <w:t>*Notă: colectarea deșeurilor de Hârtie/Carton, Plastic/Metal și Sticlă din zonele de blocuri din mediul urban se poate face și din insulele ecologice digitalizate dotate cu recipiente/containere dedicate pentru colectarea selectivă a respectivelor deșeuri, acolo unde situația din teritoriu o impune.</w:t>
      </w:r>
    </w:p>
    <w:p w14:paraId="75DF2921"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u w:val="single"/>
        </w:rPr>
        <w:t>Biodeșeurile</w:t>
      </w:r>
      <w:r w:rsidRPr="0049171A">
        <w:rPr>
          <w:rFonts w:ascii="Tahoma" w:eastAsia="Times New Roman" w:hAnsi="Tahoma" w:cs="Tahoma"/>
          <w:i/>
          <w:sz w:val="24"/>
          <w:szCs w:val="24"/>
        </w:rPr>
        <w:t>, nu doar cele predominant vegetale, se vor colecta separat în recipiente de culoare maro, sau distinct inscripționate, după organizarea acestei activități și după punerea în funcțiune a instalației de tratare anaerobă; Fracția biodegradabilă din zonele de blocuri din mediul urban, unde se vor amplasa sisteme de insule ecologice digitalizate, se va colecta separat din containerele dedicate;</w:t>
      </w:r>
    </w:p>
    <w:p w14:paraId="0D39C37D" w14:textId="77777777" w:rsidR="00794FEC" w:rsidRPr="0049171A" w:rsidRDefault="00794FEC" w:rsidP="00794FEC">
      <w:pPr>
        <w:numPr>
          <w:ilvl w:val="1"/>
          <w:numId w:val="4"/>
        </w:numPr>
        <w:tabs>
          <w:tab w:val="left" w:pos="360"/>
        </w:tabs>
        <w:jc w:val="both"/>
        <w:rPr>
          <w:rFonts w:ascii="Tahoma" w:eastAsia="Times New Roman" w:hAnsi="Tahoma" w:cs="Tahoma"/>
          <w:i/>
          <w:sz w:val="24"/>
          <w:szCs w:val="24"/>
        </w:rPr>
      </w:pPr>
      <w:r w:rsidRPr="0049171A">
        <w:rPr>
          <w:rFonts w:ascii="Tahoma" w:eastAsia="Times New Roman" w:hAnsi="Tahoma" w:cs="Tahoma"/>
          <w:i/>
          <w:sz w:val="24"/>
          <w:szCs w:val="24"/>
          <w:u w:val="single"/>
        </w:rPr>
        <w:t xml:space="preserve">Deșeurile periculoase din deșeurile menajere se colectează în campanii gratuite </w:t>
      </w:r>
      <w:r w:rsidRPr="0049171A">
        <w:rPr>
          <w:rFonts w:ascii="Tahoma" w:eastAsia="Times New Roman" w:hAnsi="Tahoma" w:cs="Tahoma"/>
          <w:i/>
          <w:sz w:val="24"/>
          <w:szCs w:val="24"/>
        </w:rPr>
        <w:t>de colectare, desfășurate semestrial, pe bază de comandă, contra cost, sau prin aport voluntar la centrele de colectare, caz în care vor fi preluate gratuit;</w:t>
      </w:r>
    </w:p>
    <w:p w14:paraId="7C0D467B" w14:textId="77777777" w:rsidR="00794FEC" w:rsidRPr="0049171A" w:rsidRDefault="00794FEC" w:rsidP="00794FEC">
      <w:pPr>
        <w:pStyle w:val="Listparagraf"/>
        <w:numPr>
          <w:ilvl w:val="1"/>
          <w:numId w:val="4"/>
        </w:numPr>
        <w:tabs>
          <w:tab w:val="left" w:pos="360"/>
        </w:tabs>
        <w:spacing w:after="160" w:line="259" w:lineRule="auto"/>
        <w:ind w:left="0"/>
        <w:jc w:val="both"/>
        <w:rPr>
          <w:rFonts w:ascii="Tahoma" w:eastAsia="Times New Roman" w:hAnsi="Tahoma" w:cs="Tahoma"/>
          <w:i/>
          <w:sz w:val="24"/>
          <w:szCs w:val="24"/>
        </w:rPr>
      </w:pPr>
      <w:r w:rsidRPr="0049171A">
        <w:rPr>
          <w:rFonts w:ascii="Tahoma" w:eastAsia="Times New Roman" w:hAnsi="Tahoma" w:cs="Tahoma"/>
          <w:i/>
          <w:sz w:val="24"/>
          <w:szCs w:val="24"/>
          <w:u w:val="single"/>
        </w:rPr>
        <w:t>Deșeurile textile se colectează într-un flux separat</w:t>
      </w:r>
      <w:r w:rsidRPr="0049171A">
        <w:rPr>
          <w:rFonts w:ascii="Tahoma" w:eastAsia="Times New Roman" w:hAnsi="Tahoma" w:cs="Tahoma"/>
          <w:i/>
          <w:sz w:val="24"/>
          <w:szCs w:val="24"/>
        </w:rPr>
        <w:t>, cu o frecvență de o dată la trei luni, atât în mediul urban, cât și în mediul rural, în cadrul unui program stabilit de autoritățile publice locale, ADI Deșeuri Bistrița-Năsăud și operatorul de colectare, sau pe bază de comandă, contra cost, sau prin aport voluntar la centrele de colectare, caz în care vor fi preluate gratuit; Autoritățile publice locale pot amplasa pe domeniul public containere speciale pentru colectarea deșeurilor textile. Colectarea se va realiza separat, contra-cost, de către operatorul de colectare, care va asigura trasabilitatea acestor deșeuri.”</w:t>
      </w:r>
    </w:p>
    <w:p w14:paraId="2455E61B" w14:textId="77777777" w:rsidR="00794FEC" w:rsidRPr="00301569" w:rsidRDefault="00794FEC" w:rsidP="00794FEC">
      <w:pPr>
        <w:spacing w:after="160" w:line="267" w:lineRule="auto"/>
        <w:contextualSpacing/>
        <w:jc w:val="both"/>
        <w:rPr>
          <w:rFonts w:ascii="Tahoma" w:eastAsia="Times New Roman" w:hAnsi="Tahoma" w:cs="Tahoma"/>
          <w:i/>
          <w:sz w:val="24"/>
          <w:szCs w:val="24"/>
        </w:rPr>
      </w:pPr>
    </w:p>
    <w:p w14:paraId="0E695262" w14:textId="77777777" w:rsidR="00794FEC"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5. Art. 21, alin. (1) din Regulamentul de salubrizare se modifică, se completează și va avea următorul conținut:</w:t>
      </w:r>
    </w:p>
    <w:p w14:paraId="798A3265" w14:textId="77777777" w:rsidR="00794FEC" w:rsidRPr="00C81E28" w:rsidRDefault="00794FEC" w:rsidP="00794FEC">
      <w:pPr>
        <w:pStyle w:val="Listparagraf"/>
        <w:tabs>
          <w:tab w:val="left" w:pos="360"/>
        </w:tabs>
        <w:spacing w:before="240"/>
        <w:ind w:left="0"/>
        <w:jc w:val="both"/>
        <w:rPr>
          <w:rFonts w:ascii="Tahoma" w:eastAsia="Times New Roman" w:hAnsi="Tahoma" w:cs="Tahoma"/>
          <w:i/>
          <w:sz w:val="24"/>
          <w:szCs w:val="24"/>
        </w:rPr>
      </w:pPr>
      <w:r>
        <w:rPr>
          <w:rFonts w:ascii="Tahoma" w:eastAsia="Times New Roman" w:hAnsi="Tahoma" w:cs="Tahoma"/>
          <w:i/>
          <w:sz w:val="24"/>
          <w:szCs w:val="24"/>
        </w:rPr>
        <w:t>„</w:t>
      </w:r>
      <w:r w:rsidRPr="00C81E28">
        <w:rPr>
          <w:rFonts w:ascii="Tahoma" w:eastAsia="Times New Roman" w:hAnsi="Tahoma" w:cs="Tahoma"/>
          <w:i/>
          <w:sz w:val="24"/>
          <w:szCs w:val="24"/>
        </w:rPr>
        <w:t xml:space="preserve">ART. 21. (1) În conformitate cu prevederile art. 39 din Normele de igienă și sănătate publică privind mediul de viață al populației aprobate prin Ordinul ministrului Ministerului Sănătății nr. 119/2014, cu modificările și completările ulterioare, evacuarea deșeurilor reziduale și a biodeșeurilor, colectate în amestec sau separat, de la locurile de producere </w:t>
      </w:r>
      <w:r w:rsidRPr="00C81E28">
        <w:rPr>
          <w:rFonts w:ascii="Tahoma" w:eastAsia="Times New Roman" w:hAnsi="Tahoma" w:cs="Tahoma"/>
          <w:i/>
          <w:sz w:val="24"/>
          <w:szCs w:val="24"/>
        </w:rPr>
        <w:lastRenderedPageBreak/>
        <w:t>și punctele de colectare la locul de tratare se face cu frecvența stabilită de către autoritățile administrației publice locale sau, după caz, de asociația de dezvoltare intercomunitară, cu respectarea următoarelor frecvențe:</w:t>
      </w:r>
    </w:p>
    <w:tbl>
      <w:tblPr>
        <w:tblW w:w="9741" w:type="dxa"/>
        <w:tblInd w:w="30" w:type="dxa"/>
        <w:tblLayout w:type="fixed"/>
        <w:tblCellMar>
          <w:left w:w="0" w:type="dxa"/>
          <w:right w:w="0" w:type="dxa"/>
        </w:tblCellMar>
        <w:tblLook w:val="0000" w:firstRow="0" w:lastRow="0" w:firstColumn="0" w:lastColumn="0" w:noHBand="0" w:noVBand="0"/>
      </w:tblPr>
      <w:tblGrid>
        <w:gridCol w:w="2060"/>
        <w:gridCol w:w="2120"/>
        <w:gridCol w:w="2140"/>
        <w:gridCol w:w="1862"/>
        <w:gridCol w:w="1559"/>
      </w:tblGrid>
      <w:tr w:rsidR="00794FEC" w:rsidRPr="00C81E28" w14:paraId="43A84D1E" w14:textId="77777777" w:rsidTr="00DB1FA8">
        <w:trPr>
          <w:trHeight w:val="566"/>
        </w:trPr>
        <w:tc>
          <w:tcPr>
            <w:tcW w:w="2060" w:type="dxa"/>
            <w:tcBorders>
              <w:top w:val="single" w:sz="8" w:space="0" w:color="auto"/>
              <w:left w:val="single" w:sz="8" w:space="0" w:color="auto"/>
              <w:right w:val="single" w:sz="8" w:space="0" w:color="auto"/>
            </w:tcBorders>
            <w:vAlign w:val="bottom"/>
          </w:tcPr>
          <w:p w14:paraId="45BC40C1" w14:textId="77777777" w:rsidR="00794FEC" w:rsidRPr="00C81E28" w:rsidRDefault="00794FEC" w:rsidP="00DB1FA8">
            <w:pPr>
              <w:ind w:left="520"/>
              <w:rPr>
                <w:rFonts w:ascii="Tahoma" w:eastAsia="Times New Roman" w:hAnsi="Tahoma" w:cs="Tahoma"/>
                <w:b/>
                <w:i/>
                <w:sz w:val="24"/>
                <w:szCs w:val="24"/>
              </w:rPr>
            </w:pPr>
            <w:r w:rsidRPr="00C81E28">
              <w:rPr>
                <w:rFonts w:ascii="Tahoma" w:eastAsia="Times New Roman" w:hAnsi="Tahoma" w:cs="Tahoma"/>
                <w:b/>
                <w:i/>
                <w:sz w:val="24"/>
                <w:szCs w:val="24"/>
              </w:rPr>
              <w:t>Tip deşeu</w:t>
            </w:r>
          </w:p>
        </w:tc>
        <w:tc>
          <w:tcPr>
            <w:tcW w:w="4260" w:type="dxa"/>
            <w:gridSpan w:val="2"/>
            <w:tcBorders>
              <w:top w:val="single" w:sz="8" w:space="0" w:color="auto"/>
              <w:right w:val="single" w:sz="8" w:space="0" w:color="auto"/>
            </w:tcBorders>
            <w:vAlign w:val="bottom"/>
          </w:tcPr>
          <w:p w14:paraId="620D13E3" w14:textId="77777777" w:rsidR="00794FEC" w:rsidRPr="00C81E28" w:rsidRDefault="00794FEC" w:rsidP="00DB1FA8">
            <w:pPr>
              <w:ind w:left="1380"/>
              <w:rPr>
                <w:rFonts w:ascii="Tahoma" w:eastAsia="Times New Roman" w:hAnsi="Tahoma" w:cs="Tahoma"/>
                <w:b/>
                <w:i/>
                <w:sz w:val="24"/>
                <w:szCs w:val="24"/>
              </w:rPr>
            </w:pPr>
            <w:r w:rsidRPr="00C81E28">
              <w:rPr>
                <w:rFonts w:ascii="Tahoma" w:eastAsia="Times New Roman" w:hAnsi="Tahoma" w:cs="Tahoma"/>
                <w:b/>
                <w:i/>
                <w:sz w:val="24"/>
                <w:szCs w:val="24"/>
              </w:rPr>
              <w:t>Mediul Urban</w:t>
            </w:r>
          </w:p>
        </w:tc>
        <w:tc>
          <w:tcPr>
            <w:tcW w:w="3421" w:type="dxa"/>
            <w:gridSpan w:val="2"/>
            <w:tcBorders>
              <w:top w:val="single" w:sz="8" w:space="0" w:color="auto"/>
              <w:right w:val="single" w:sz="8" w:space="0" w:color="auto"/>
            </w:tcBorders>
            <w:vAlign w:val="bottom"/>
          </w:tcPr>
          <w:p w14:paraId="2AC0DB42" w14:textId="77777777" w:rsidR="00794FEC" w:rsidRPr="00C81E28" w:rsidRDefault="00794FEC" w:rsidP="00DB1FA8">
            <w:pPr>
              <w:ind w:left="1380"/>
              <w:rPr>
                <w:rFonts w:ascii="Tahoma" w:eastAsia="Times New Roman" w:hAnsi="Tahoma" w:cs="Tahoma"/>
                <w:b/>
                <w:i/>
                <w:w w:val="98"/>
                <w:sz w:val="24"/>
                <w:szCs w:val="24"/>
              </w:rPr>
            </w:pPr>
            <w:r w:rsidRPr="00C81E28">
              <w:rPr>
                <w:rFonts w:ascii="Tahoma" w:eastAsia="Times New Roman" w:hAnsi="Tahoma" w:cs="Tahoma"/>
                <w:b/>
                <w:i/>
                <w:sz w:val="24"/>
                <w:szCs w:val="24"/>
              </w:rPr>
              <w:t>Mediul Rural</w:t>
            </w:r>
          </w:p>
        </w:tc>
      </w:tr>
      <w:tr w:rsidR="00794FEC" w:rsidRPr="00C81E28" w14:paraId="66945946" w14:textId="77777777" w:rsidTr="00DB1FA8">
        <w:trPr>
          <w:trHeight w:val="423"/>
        </w:trPr>
        <w:tc>
          <w:tcPr>
            <w:tcW w:w="2060" w:type="dxa"/>
            <w:tcBorders>
              <w:left w:val="single" w:sz="8" w:space="0" w:color="auto"/>
              <w:bottom w:val="single" w:sz="8" w:space="0" w:color="auto"/>
              <w:right w:val="single" w:sz="8" w:space="0" w:color="auto"/>
            </w:tcBorders>
            <w:vAlign w:val="bottom"/>
          </w:tcPr>
          <w:p w14:paraId="2AA33F15" w14:textId="77777777" w:rsidR="00794FEC" w:rsidRPr="00C81E28" w:rsidRDefault="00794FEC" w:rsidP="00DB1FA8">
            <w:pPr>
              <w:rPr>
                <w:rFonts w:ascii="Tahoma" w:eastAsia="Times New Roman" w:hAnsi="Tahoma" w:cs="Tahoma"/>
                <w:i/>
                <w:sz w:val="24"/>
                <w:szCs w:val="24"/>
              </w:rPr>
            </w:pPr>
          </w:p>
        </w:tc>
        <w:tc>
          <w:tcPr>
            <w:tcW w:w="2120" w:type="dxa"/>
            <w:tcBorders>
              <w:bottom w:val="single" w:sz="8" w:space="0" w:color="auto"/>
            </w:tcBorders>
            <w:vAlign w:val="bottom"/>
          </w:tcPr>
          <w:p w14:paraId="53B7D189" w14:textId="77777777" w:rsidR="00794FEC" w:rsidRPr="00C81E28" w:rsidRDefault="00794FEC" w:rsidP="00DB1FA8">
            <w:pPr>
              <w:rPr>
                <w:rFonts w:ascii="Tahoma" w:eastAsia="Times New Roman" w:hAnsi="Tahoma" w:cs="Tahoma"/>
                <w:i/>
                <w:sz w:val="24"/>
                <w:szCs w:val="24"/>
              </w:rPr>
            </w:pPr>
          </w:p>
        </w:tc>
        <w:tc>
          <w:tcPr>
            <w:tcW w:w="2140" w:type="dxa"/>
            <w:tcBorders>
              <w:bottom w:val="single" w:sz="8" w:space="0" w:color="auto"/>
              <w:right w:val="single" w:sz="8" w:space="0" w:color="auto"/>
            </w:tcBorders>
            <w:vAlign w:val="bottom"/>
          </w:tcPr>
          <w:p w14:paraId="4DEE447E" w14:textId="77777777" w:rsidR="00794FEC" w:rsidRPr="00C81E28" w:rsidRDefault="00794FEC" w:rsidP="00DB1FA8">
            <w:pPr>
              <w:rPr>
                <w:rFonts w:ascii="Tahoma" w:eastAsia="Times New Roman" w:hAnsi="Tahoma" w:cs="Tahoma"/>
                <w:i/>
                <w:sz w:val="24"/>
                <w:szCs w:val="24"/>
              </w:rPr>
            </w:pPr>
          </w:p>
        </w:tc>
        <w:tc>
          <w:tcPr>
            <w:tcW w:w="1862" w:type="dxa"/>
            <w:tcBorders>
              <w:bottom w:val="single" w:sz="8" w:space="0" w:color="auto"/>
            </w:tcBorders>
            <w:vAlign w:val="bottom"/>
          </w:tcPr>
          <w:p w14:paraId="48C679CD" w14:textId="77777777" w:rsidR="00794FEC" w:rsidRPr="00C81E28" w:rsidRDefault="00794FEC" w:rsidP="00DB1FA8">
            <w:pPr>
              <w:rPr>
                <w:rFonts w:ascii="Tahoma" w:eastAsia="Times New Roman" w:hAnsi="Tahoma" w:cs="Tahoma"/>
                <w:i/>
                <w:sz w:val="24"/>
                <w:szCs w:val="24"/>
              </w:rPr>
            </w:pPr>
          </w:p>
        </w:tc>
        <w:tc>
          <w:tcPr>
            <w:tcW w:w="1559" w:type="dxa"/>
            <w:tcBorders>
              <w:bottom w:val="single" w:sz="8" w:space="0" w:color="auto"/>
              <w:right w:val="single" w:sz="8" w:space="0" w:color="auto"/>
            </w:tcBorders>
            <w:vAlign w:val="bottom"/>
          </w:tcPr>
          <w:p w14:paraId="013B9A1F" w14:textId="77777777" w:rsidR="00794FEC" w:rsidRPr="00C81E28" w:rsidRDefault="00794FEC" w:rsidP="00DB1FA8">
            <w:pPr>
              <w:rPr>
                <w:rFonts w:ascii="Tahoma" w:eastAsia="Times New Roman" w:hAnsi="Tahoma" w:cs="Tahoma"/>
                <w:i/>
                <w:sz w:val="24"/>
                <w:szCs w:val="24"/>
              </w:rPr>
            </w:pPr>
          </w:p>
        </w:tc>
      </w:tr>
      <w:tr w:rsidR="00794FEC" w:rsidRPr="00C81E28" w14:paraId="59133A1F" w14:textId="77777777" w:rsidTr="00DB1FA8">
        <w:trPr>
          <w:trHeight w:val="263"/>
        </w:trPr>
        <w:tc>
          <w:tcPr>
            <w:tcW w:w="2060" w:type="dxa"/>
            <w:tcBorders>
              <w:left w:val="single" w:sz="8" w:space="0" w:color="auto"/>
              <w:right w:val="single" w:sz="8" w:space="0" w:color="auto"/>
            </w:tcBorders>
            <w:vAlign w:val="bottom"/>
          </w:tcPr>
          <w:p w14:paraId="6431AD3E" w14:textId="77777777" w:rsidR="00794FEC" w:rsidRPr="00C81E28" w:rsidRDefault="00794FEC" w:rsidP="00DB1FA8">
            <w:pPr>
              <w:rPr>
                <w:rFonts w:ascii="Tahoma" w:eastAsia="Times New Roman" w:hAnsi="Tahoma" w:cs="Tahoma"/>
                <w:i/>
                <w:sz w:val="24"/>
                <w:szCs w:val="24"/>
              </w:rPr>
            </w:pPr>
          </w:p>
        </w:tc>
        <w:tc>
          <w:tcPr>
            <w:tcW w:w="2120" w:type="dxa"/>
            <w:tcBorders>
              <w:right w:val="single" w:sz="8" w:space="0" w:color="auto"/>
            </w:tcBorders>
            <w:vAlign w:val="bottom"/>
          </w:tcPr>
          <w:p w14:paraId="60D00E85" w14:textId="77777777" w:rsidR="00794FEC" w:rsidRPr="00C81E28" w:rsidRDefault="00794FEC" w:rsidP="00DB1FA8">
            <w:pPr>
              <w:jc w:val="center"/>
              <w:rPr>
                <w:rFonts w:ascii="Tahoma" w:eastAsia="Times New Roman" w:hAnsi="Tahoma" w:cs="Tahoma"/>
                <w:b/>
                <w:i/>
                <w:sz w:val="24"/>
                <w:szCs w:val="24"/>
              </w:rPr>
            </w:pPr>
            <w:r w:rsidRPr="00C81E28">
              <w:rPr>
                <w:rFonts w:ascii="Tahoma" w:eastAsia="Times New Roman" w:hAnsi="Tahoma" w:cs="Tahoma"/>
                <w:b/>
                <w:i/>
                <w:sz w:val="24"/>
                <w:szCs w:val="24"/>
              </w:rPr>
              <w:t>Case</w:t>
            </w:r>
          </w:p>
        </w:tc>
        <w:tc>
          <w:tcPr>
            <w:tcW w:w="2140" w:type="dxa"/>
            <w:tcBorders>
              <w:right w:val="single" w:sz="8" w:space="0" w:color="auto"/>
            </w:tcBorders>
            <w:vAlign w:val="bottom"/>
          </w:tcPr>
          <w:p w14:paraId="28C9ECD8" w14:textId="77777777" w:rsidR="00794FEC" w:rsidRPr="00C81E28" w:rsidRDefault="00794FEC" w:rsidP="00DB1FA8">
            <w:pPr>
              <w:jc w:val="center"/>
              <w:rPr>
                <w:rFonts w:ascii="Tahoma" w:eastAsia="Times New Roman" w:hAnsi="Tahoma" w:cs="Tahoma"/>
                <w:b/>
                <w:i/>
                <w:w w:val="99"/>
                <w:sz w:val="24"/>
                <w:szCs w:val="24"/>
              </w:rPr>
            </w:pPr>
            <w:r w:rsidRPr="00C81E28">
              <w:rPr>
                <w:rFonts w:ascii="Tahoma" w:eastAsia="Times New Roman" w:hAnsi="Tahoma" w:cs="Tahoma"/>
                <w:b/>
                <w:i/>
                <w:w w:val="99"/>
                <w:sz w:val="24"/>
                <w:szCs w:val="24"/>
              </w:rPr>
              <w:t>Blocuri</w:t>
            </w:r>
          </w:p>
        </w:tc>
        <w:tc>
          <w:tcPr>
            <w:tcW w:w="1862" w:type="dxa"/>
            <w:tcBorders>
              <w:right w:val="single" w:sz="8" w:space="0" w:color="auto"/>
            </w:tcBorders>
            <w:vAlign w:val="bottom"/>
          </w:tcPr>
          <w:p w14:paraId="658FDCDA" w14:textId="77777777" w:rsidR="00794FEC" w:rsidRPr="00C81E28" w:rsidRDefault="00794FEC" w:rsidP="00DB1FA8">
            <w:pPr>
              <w:jc w:val="center"/>
              <w:rPr>
                <w:rFonts w:ascii="Tahoma" w:eastAsia="Times New Roman" w:hAnsi="Tahoma" w:cs="Tahoma"/>
                <w:b/>
                <w:i/>
                <w:w w:val="97"/>
                <w:sz w:val="24"/>
                <w:szCs w:val="24"/>
              </w:rPr>
            </w:pPr>
            <w:r w:rsidRPr="00C81E28">
              <w:rPr>
                <w:rFonts w:ascii="Tahoma" w:eastAsia="Times New Roman" w:hAnsi="Tahoma" w:cs="Tahoma"/>
                <w:b/>
                <w:i/>
                <w:w w:val="97"/>
                <w:sz w:val="24"/>
                <w:szCs w:val="24"/>
              </w:rPr>
              <w:t>Case</w:t>
            </w:r>
          </w:p>
        </w:tc>
        <w:tc>
          <w:tcPr>
            <w:tcW w:w="1559" w:type="dxa"/>
            <w:tcBorders>
              <w:right w:val="single" w:sz="8" w:space="0" w:color="auto"/>
            </w:tcBorders>
            <w:vAlign w:val="bottom"/>
          </w:tcPr>
          <w:p w14:paraId="5B1894D9" w14:textId="77777777" w:rsidR="00794FEC" w:rsidRPr="00C81E28" w:rsidRDefault="00794FEC" w:rsidP="00DB1FA8">
            <w:pPr>
              <w:jc w:val="center"/>
              <w:rPr>
                <w:rFonts w:ascii="Tahoma" w:eastAsia="Times New Roman" w:hAnsi="Tahoma" w:cs="Tahoma"/>
                <w:b/>
                <w:i/>
                <w:w w:val="99"/>
                <w:sz w:val="24"/>
                <w:szCs w:val="24"/>
              </w:rPr>
            </w:pPr>
            <w:r w:rsidRPr="00C81E28">
              <w:rPr>
                <w:rFonts w:ascii="Tahoma" w:eastAsia="Times New Roman" w:hAnsi="Tahoma" w:cs="Tahoma"/>
                <w:b/>
                <w:i/>
                <w:w w:val="99"/>
                <w:sz w:val="24"/>
                <w:szCs w:val="24"/>
              </w:rPr>
              <w:t>Blocuri</w:t>
            </w:r>
          </w:p>
        </w:tc>
      </w:tr>
      <w:tr w:rsidR="00794FEC" w:rsidRPr="00C81E28" w14:paraId="68DE8547" w14:textId="77777777" w:rsidTr="00DB1FA8">
        <w:trPr>
          <w:trHeight w:val="142"/>
        </w:trPr>
        <w:tc>
          <w:tcPr>
            <w:tcW w:w="2060" w:type="dxa"/>
            <w:tcBorders>
              <w:left w:val="single" w:sz="8" w:space="0" w:color="auto"/>
              <w:bottom w:val="single" w:sz="8" w:space="0" w:color="auto"/>
              <w:right w:val="single" w:sz="8" w:space="0" w:color="auto"/>
            </w:tcBorders>
            <w:vAlign w:val="bottom"/>
          </w:tcPr>
          <w:p w14:paraId="51A9A9AD" w14:textId="77777777" w:rsidR="00794FEC" w:rsidRPr="00C81E28" w:rsidRDefault="00794FEC" w:rsidP="00DB1FA8">
            <w:pPr>
              <w:rPr>
                <w:rFonts w:ascii="Tahoma" w:eastAsia="Times New Roman" w:hAnsi="Tahoma" w:cs="Tahoma"/>
                <w:i/>
                <w:sz w:val="24"/>
                <w:szCs w:val="24"/>
              </w:rPr>
            </w:pPr>
          </w:p>
        </w:tc>
        <w:tc>
          <w:tcPr>
            <w:tcW w:w="2120" w:type="dxa"/>
            <w:tcBorders>
              <w:bottom w:val="single" w:sz="8" w:space="0" w:color="auto"/>
              <w:right w:val="single" w:sz="8" w:space="0" w:color="auto"/>
            </w:tcBorders>
            <w:vAlign w:val="bottom"/>
          </w:tcPr>
          <w:p w14:paraId="74DF39B2" w14:textId="77777777" w:rsidR="00794FEC" w:rsidRPr="00C81E28" w:rsidRDefault="00794FEC" w:rsidP="00DB1FA8">
            <w:pPr>
              <w:rPr>
                <w:rFonts w:ascii="Tahoma" w:eastAsia="Times New Roman" w:hAnsi="Tahoma" w:cs="Tahoma"/>
                <w:i/>
                <w:sz w:val="24"/>
                <w:szCs w:val="24"/>
              </w:rPr>
            </w:pPr>
          </w:p>
        </w:tc>
        <w:tc>
          <w:tcPr>
            <w:tcW w:w="2140" w:type="dxa"/>
            <w:tcBorders>
              <w:bottom w:val="single" w:sz="8" w:space="0" w:color="auto"/>
              <w:right w:val="single" w:sz="8" w:space="0" w:color="auto"/>
            </w:tcBorders>
            <w:vAlign w:val="bottom"/>
          </w:tcPr>
          <w:p w14:paraId="32B5586D" w14:textId="77777777" w:rsidR="00794FEC" w:rsidRPr="00C81E28" w:rsidRDefault="00794FEC" w:rsidP="00DB1FA8">
            <w:pPr>
              <w:rPr>
                <w:rFonts w:ascii="Tahoma" w:eastAsia="Times New Roman" w:hAnsi="Tahoma" w:cs="Tahoma"/>
                <w:i/>
                <w:sz w:val="24"/>
                <w:szCs w:val="24"/>
              </w:rPr>
            </w:pPr>
          </w:p>
        </w:tc>
        <w:tc>
          <w:tcPr>
            <w:tcW w:w="1862" w:type="dxa"/>
            <w:tcBorders>
              <w:bottom w:val="single" w:sz="8" w:space="0" w:color="auto"/>
              <w:right w:val="single" w:sz="8" w:space="0" w:color="auto"/>
            </w:tcBorders>
            <w:vAlign w:val="bottom"/>
          </w:tcPr>
          <w:p w14:paraId="720E23B0" w14:textId="77777777" w:rsidR="00794FEC" w:rsidRPr="00C81E28" w:rsidRDefault="00794FEC" w:rsidP="00DB1FA8">
            <w:pPr>
              <w:rPr>
                <w:rFonts w:ascii="Tahoma" w:eastAsia="Times New Roman" w:hAnsi="Tahoma" w:cs="Tahoma"/>
                <w:i/>
                <w:sz w:val="24"/>
                <w:szCs w:val="24"/>
              </w:rPr>
            </w:pPr>
          </w:p>
        </w:tc>
        <w:tc>
          <w:tcPr>
            <w:tcW w:w="1559" w:type="dxa"/>
            <w:tcBorders>
              <w:bottom w:val="single" w:sz="8" w:space="0" w:color="auto"/>
              <w:right w:val="single" w:sz="8" w:space="0" w:color="auto"/>
            </w:tcBorders>
            <w:vAlign w:val="bottom"/>
          </w:tcPr>
          <w:p w14:paraId="237C0BD4" w14:textId="77777777" w:rsidR="00794FEC" w:rsidRPr="00C81E28" w:rsidRDefault="00794FEC" w:rsidP="00DB1FA8">
            <w:pPr>
              <w:rPr>
                <w:rFonts w:ascii="Tahoma" w:eastAsia="Times New Roman" w:hAnsi="Tahoma" w:cs="Tahoma"/>
                <w:i/>
                <w:sz w:val="24"/>
                <w:szCs w:val="24"/>
              </w:rPr>
            </w:pPr>
          </w:p>
        </w:tc>
      </w:tr>
      <w:tr w:rsidR="00794FEC" w:rsidRPr="00C81E28" w14:paraId="699AA77C" w14:textId="77777777" w:rsidTr="00DB1FA8">
        <w:trPr>
          <w:trHeight w:val="258"/>
        </w:trPr>
        <w:tc>
          <w:tcPr>
            <w:tcW w:w="2060" w:type="dxa"/>
            <w:tcBorders>
              <w:left w:val="single" w:sz="8" w:space="0" w:color="auto"/>
              <w:right w:val="single" w:sz="8" w:space="0" w:color="auto"/>
            </w:tcBorders>
            <w:vAlign w:val="bottom"/>
          </w:tcPr>
          <w:p w14:paraId="3BABD6A6"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 xml:space="preserve">Rezidual </w:t>
            </w:r>
          </w:p>
        </w:tc>
        <w:tc>
          <w:tcPr>
            <w:tcW w:w="2120" w:type="dxa"/>
            <w:tcBorders>
              <w:right w:val="single" w:sz="8" w:space="0" w:color="auto"/>
            </w:tcBorders>
            <w:vAlign w:val="bottom"/>
          </w:tcPr>
          <w:p w14:paraId="4A5680AF"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 xml:space="preserve"> 4 ori/lună</w:t>
            </w:r>
          </w:p>
        </w:tc>
        <w:tc>
          <w:tcPr>
            <w:tcW w:w="2140" w:type="dxa"/>
            <w:tcBorders>
              <w:right w:val="single" w:sz="8" w:space="0" w:color="auto"/>
            </w:tcBorders>
            <w:vAlign w:val="bottom"/>
          </w:tcPr>
          <w:p w14:paraId="7393A65E" w14:textId="77777777" w:rsidR="00794FEC" w:rsidRPr="00C81E28" w:rsidRDefault="00794FEC" w:rsidP="00DB1FA8">
            <w:pPr>
              <w:rPr>
                <w:rFonts w:ascii="Tahoma" w:hAnsi="Tahoma" w:cs="Tahoma"/>
                <w:i/>
                <w:sz w:val="24"/>
                <w:szCs w:val="24"/>
              </w:rPr>
            </w:pPr>
          </w:p>
          <w:p w14:paraId="02625A77"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5 ori/săptămână</w:t>
            </w:r>
          </w:p>
        </w:tc>
        <w:tc>
          <w:tcPr>
            <w:tcW w:w="1862" w:type="dxa"/>
            <w:tcBorders>
              <w:right w:val="single" w:sz="8" w:space="0" w:color="auto"/>
            </w:tcBorders>
            <w:vAlign w:val="bottom"/>
          </w:tcPr>
          <w:p w14:paraId="12353384"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3 ori/lună</w:t>
            </w:r>
          </w:p>
        </w:tc>
        <w:tc>
          <w:tcPr>
            <w:tcW w:w="1559" w:type="dxa"/>
            <w:tcBorders>
              <w:right w:val="single" w:sz="8" w:space="0" w:color="auto"/>
            </w:tcBorders>
            <w:vAlign w:val="bottom"/>
          </w:tcPr>
          <w:p w14:paraId="1E060FD9"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de 2 ori/săpt.</w:t>
            </w:r>
          </w:p>
        </w:tc>
      </w:tr>
      <w:tr w:rsidR="00794FEC" w:rsidRPr="00C81E28" w14:paraId="1CA50B3C" w14:textId="77777777" w:rsidTr="00DB1FA8">
        <w:trPr>
          <w:trHeight w:val="68"/>
        </w:trPr>
        <w:tc>
          <w:tcPr>
            <w:tcW w:w="2060" w:type="dxa"/>
            <w:tcBorders>
              <w:left w:val="single" w:sz="8" w:space="0" w:color="auto"/>
              <w:bottom w:val="single" w:sz="4" w:space="0" w:color="auto"/>
              <w:right w:val="single" w:sz="8" w:space="0" w:color="auto"/>
            </w:tcBorders>
            <w:vAlign w:val="bottom"/>
          </w:tcPr>
          <w:p w14:paraId="6D182DF7" w14:textId="77777777" w:rsidR="00794FEC" w:rsidRPr="00C81E28" w:rsidRDefault="00794FEC" w:rsidP="00DB1FA8">
            <w:pPr>
              <w:jc w:val="center"/>
              <w:rPr>
                <w:rFonts w:ascii="Tahoma" w:eastAsia="Times New Roman" w:hAnsi="Tahoma" w:cs="Tahoma"/>
                <w:i/>
                <w:sz w:val="24"/>
                <w:szCs w:val="24"/>
              </w:rPr>
            </w:pPr>
          </w:p>
        </w:tc>
        <w:tc>
          <w:tcPr>
            <w:tcW w:w="2120" w:type="dxa"/>
            <w:tcBorders>
              <w:bottom w:val="single" w:sz="4" w:space="0" w:color="auto"/>
              <w:right w:val="single" w:sz="8" w:space="0" w:color="auto"/>
            </w:tcBorders>
            <w:vAlign w:val="bottom"/>
          </w:tcPr>
          <w:p w14:paraId="53A8487A" w14:textId="77777777" w:rsidR="00794FEC" w:rsidRPr="00C81E28" w:rsidRDefault="00794FEC" w:rsidP="00DB1FA8">
            <w:pPr>
              <w:jc w:val="center"/>
              <w:rPr>
                <w:rFonts w:ascii="Tahoma" w:eastAsia="Times New Roman" w:hAnsi="Tahoma" w:cs="Tahoma"/>
                <w:i/>
                <w:sz w:val="24"/>
                <w:szCs w:val="24"/>
              </w:rPr>
            </w:pPr>
          </w:p>
        </w:tc>
        <w:tc>
          <w:tcPr>
            <w:tcW w:w="2140" w:type="dxa"/>
            <w:tcBorders>
              <w:bottom w:val="single" w:sz="4" w:space="0" w:color="auto"/>
              <w:right w:val="single" w:sz="8" w:space="0" w:color="auto"/>
            </w:tcBorders>
            <w:vAlign w:val="bottom"/>
          </w:tcPr>
          <w:p w14:paraId="79F151F3" w14:textId="77777777" w:rsidR="00794FEC" w:rsidRPr="00C81E28" w:rsidRDefault="00794FEC" w:rsidP="00DB1FA8">
            <w:pPr>
              <w:jc w:val="center"/>
              <w:rPr>
                <w:rFonts w:ascii="Tahoma" w:eastAsia="Times New Roman" w:hAnsi="Tahoma" w:cs="Tahoma"/>
                <w:i/>
                <w:sz w:val="24"/>
                <w:szCs w:val="24"/>
              </w:rPr>
            </w:pPr>
          </w:p>
        </w:tc>
        <w:tc>
          <w:tcPr>
            <w:tcW w:w="1862" w:type="dxa"/>
            <w:tcBorders>
              <w:bottom w:val="single" w:sz="4" w:space="0" w:color="auto"/>
              <w:right w:val="single" w:sz="4" w:space="0" w:color="auto"/>
            </w:tcBorders>
            <w:vAlign w:val="bottom"/>
          </w:tcPr>
          <w:p w14:paraId="39E1CB1E" w14:textId="77777777" w:rsidR="00794FEC" w:rsidRPr="00C81E28" w:rsidRDefault="00794FEC" w:rsidP="00DB1FA8">
            <w:pPr>
              <w:jc w:val="center"/>
              <w:rPr>
                <w:rFonts w:ascii="Tahoma" w:eastAsia="Times New Roman" w:hAnsi="Tahoma" w:cs="Tahoma"/>
                <w:i/>
                <w:sz w:val="24"/>
                <w:szCs w:val="24"/>
              </w:rPr>
            </w:pPr>
          </w:p>
        </w:tc>
        <w:tc>
          <w:tcPr>
            <w:tcW w:w="1559" w:type="dxa"/>
            <w:tcBorders>
              <w:left w:val="single" w:sz="4" w:space="0" w:color="auto"/>
              <w:bottom w:val="single" w:sz="4" w:space="0" w:color="auto"/>
              <w:right w:val="single" w:sz="8" w:space="0" w:color="auto"/>
            </w:tcBorders>
            <w:vAlign w:val="bottom"/>
          </w:tcPr>
          <w:p w14:paraId="263A10D9" w14:textId="77777777" w:rsidR="00794FEC" w:rsidRPr="00C81E28" w:rsidRDefault="00794FEC" w:rsidP="00DB1FA8">
            <w:pPr>
              <w:jc w:val="center"/>
              <w:rPr>
                <w:rFonts w:ascii="Tahoma" w:eastAsia="Times New Roman" w:hAnsi="Tahoma" w:cs="Tahoma"/>
                <w:i/>
                <w:sz w:val="24"/>
                <w:szCs w:val="24"/>
              </w:rPr>
            </w:pPr>
          </w:p>
        </w:tc>
      </w:tr>
      <w:tr w:rsidR="00794FEC" w:rsidRPr="00C81E28" w14:paraId="52564A6B" w14:textId="77777777" w:rsidTr="00DB1FA8">
        <w:trPr>
          <w:trHeight w:val="258"/>
        </w:trPr>
        <w:tc>
          <w:tcPr>
            <w:tcW w:w="2060" w:type="dxa"/>
            <w:tcBorders>
              <w:top w:val="single" w:sz="4" w:space="0" w:color="auto"/>
              <w:left w:val="single" w:sz="8" w:space="0" w:color="auto"/>
              <w:right w:val="single" w:sz="8" w:space="0" w:color="auto"/>
            </w:tcBorders>
            <w:vAlign w:val="bottom"/>
          </w:tcPr>
          <w:p w14:paraId="02ACAB55"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hârtie+carton</w:t>
            </w:r>
          </w:p>
        </w:tc>
        <w:tc>
          <w:tcPr>
            <w:tcW w:w="2120" w:type="dxa"/>
            <w:tcBorders>
              <w:top w:val="single" w:sz="4" w:space="0" w:color="auto"/>
              <w:right w:val="single" w:sz="8" w:space="0" w:color="auto"/>
            </w:tcBorders>
            <w:vAlign w:val="bottom"/>
          </w:tcPr>
          <w:p w14:paraId="353587A3"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lună</w:t>
            </w:r>
          </w:p>
        </w:tc>
        <w:tc>
          <w:tcPr>
            <w:tcW w:w="2140" w:type="dxa"/>
            <w:tcBorders>
              <w:top w:val="single" w:sz="4" w:space="0" w:color="auto"/>
              <w:right w:val="single" w:sz="8" w:space="0" w:color="auto"/>
            </w:tcBorders>
            <w:vAlign w:val="bottom"/>
          </w:tcPr>
          <w:p w14:paraId="61A1550D"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dată/la 2 săpt.</w:t>
            </w:r>
          </w:p>
        </w:tc>
        <w:tc>
          <w:tcPr>
            <w:tcW w:w="1862" w:type="dxa"/>
            <w:tcBorders>
              <w:top w:val="single" w:sz="4" w:space="0" w:color="auto"/>
              <w:right w:val="single" w:sz="4" w:space="0" w:color="auto"/>
            </w:tcBorders>
            <w:vAlign w:val="bottom"/>
          </w:tcPr>
          <w:p w14:paraId="0548C697"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2 luni</w:t>
            </w:r>
          </w:p>
        </w:tc>
        <w:tc>
          <w:tcPr>
            <w:tcW w:w="1559" w:type="dxa"/>
            <w:tcBorders>
              <w:top w:val="single" w:sz="4" w:space="0" w:color="auto"/>
              <w:left w:val="single" w:sz="4" w:space="0" w:color="auto"/>
              <w:right w:val="single" w:sz="8" w:space="0" w:color="auto"/>
            </w:tcBorders>
            <w:vAlign w:val="bottom"/>
          </w:tcPr>
          <w:p w14:paraId="53F753CA"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/lună</w:t>
            </w:r>
          </w:p>
        </w:tc>
      </w:tr>
      <w:tr w:rsidR="00794FEC" w:rsidRPr="00C81E28" w14:paraId="23753C77" w14:textId="77777777" w:rsidTr="00DB1FA8">
        <w:trPr>
          <w:trHeight w:val="147"/>
        </w:trPr>
        <w:tc>
          <w:tcPr>
            <w:tcW w:w="2060" w:type="dxa"/>
            <w:tcBorders>
              <w:left w:val="single" w:sz="8" w:space="0" w:color="auto"/>
              <w:bottom w:val="single" w:sz="8" w:space="0" w:color="auto"/>
              <w:right w:val="single" w:sz="8" w:space="0" w:color="auto"/>
            </w:tcBorders>
            <w:vAlign w:val="bottom"/>
          </w:tcPr>
          <w:p w14:paraId="5371C323" w14:textId="77777777" w:rsidR="00794FEC" w:rsidRPr="00C81E28" w:rsidRDefault="00794FEC" w:rsidP="00DB1FA8">
            <w:pPr>
              <w:jc w:val="center"/>
              <w:rPr>
                <w:rFonts w:ascii="Tahoma" w:eastAsia="Times New Roman" w:hAnsi="Tahoma" w:cs="Tahoma"/>
                <w:i/>
                <w:sz w:val="24"/>
                <w:szCs w:val="24"/>
              </w:rPr>
            </w:pPr>
          </w:p>
        </w:tc>
        <w:tc>
          <w:tcPr>
            <w:tcW w:w="2120" w:type="dxa"/>
            <w:tcBorders>
              <w:bottom w:val="single" w:sz="8" w:space="0" w:color="auto"/>
              <w:right w:val="single" w:sz="8" w:space="0" w:color="auto"/>
            </w:tcBorders>
            <w:vAlign w:val="bottom"/>
          </w:tcPr>
          <w:p w14:paraId="4E57EE81" w14:textId="77777777" w:rsidR="00794FEC" w:rsidRPr="00C81E28" w:rsidRDefault="00794FEC" w:rsidP="00DB1FA8">
            <w:pPr>
              <w:jc w:val="center"/>
              <w:rPr>
                <w:rFonts w:ascii="Tahoma" w:eastAsia="Times New Roman" w:hAnsi="Tahoma" w:cs="Tahoma"/>
                <w:i/>
                <w:sz w:val="24"/>
                <w:szCs w:val="24"/>
              </w:rPr>
            </w:pPr>
          </w:p>
        </w:tc>
        <w:tc>
          <w:tcPr>
            <w:tcW w:w="2140" w:type="dxa"/>
            <w:tcBorders>
              <w:bottom w:val="single" w:sz="8" w:space="0" w:color="auto"/>
              <w:right w:val="single" w:sz="8" w:space="0" w:color="auto"/>
            </w:tcBorders>
            <w:vAlign w:val="bottom"/>
          </w:tcPr>
          <w:p w14:paraId="1E65AE12" w14:textId="77777777" w:rsidR="00794FEC" w:rsidRPr="00C81E28" w:rsidRDefault="00794FEC" w:rsidP="00DB1FA8">
            <w:pPr>
              <w:jc w:val="center"/>
              <w:rPr>
                <w:rFonts w:ascii="Tahoma" w:eastAsia="Times New Roman" w:hAnsi="Tahoma" w:cs="Tahoma"/>
                <w:i/>
                <w:sz w:val="24"/>
                <w:szCs w:val="24"/>
              </w:rPr>
            </w:pPr>
          </w:p>
        </w:tc>
        <w:tc>
          <w:tcPr>
            <w:tcW w:w="1862" w:type="dxa"/>
            <w:tcBorders>
              <w:bottom w:val="single" w:sz="8" w:space="0" w:color="auto"/>
              <w:right w:val="single" w:sz="4" w:space="0" w:color="auto"/>
            </w:tcBorders>
            <w:vAlign w:val="bottom"/>
          </w:tcPr>
          <w:p w14:paraId="3DD3AEE6" w14:textId="77777777" w:rsidR="00794FEC" w:rsidRPr="00C81E28" w:rsidRDefault="00794FEC" w:rsidP="00DB1FA8">
            <w:pPr>
              <w:jc w:val="center"/>
              <w:rPr>
                <w:rFonts w:ascii="Tahoma" w:eastAsia="Times New Roman" w:hAnsi="Tahoma" w:cs="Tahoma"/>
                <w:i/>
                <w:sz w:val="24"/>
                <w:szCs w:val="24"/>
              </w:rPr>
            </w:pPr>
          </w:p>
        </w:tc>
        <w:tc>
          <w:tcPr>
            <w:tcW w:w="1559" w:type="dxa"/>
            <w:tcBorders>
              <w:left w:val="single" w:sz="4" w:space="0" w:color="auto"/>
              <w:bottom w:val="single" w:sz="8" w:space="0" w:color="auto"/>
              <w:right w:val="single" w:sz="8" w:space="0" w:color="auto"/>
            </w:tcBorders>
            <w:vAlign w:val="bottom"/>
          </w:tcPr>
          <w:p w14:paraId="7CE97688" w14:textId="77777777" w:rsidR="00794FEC" w:rsidRPr="00C81E28" w:rsidRDefault="00794FEC" w:rsidP="00DB1FA8">
            <w:pPr>
              <w:jc w:val="center"/>
              <w:rPr>
                <w:rFonts w:ascii="Tahoma" w:eastAsia="Times New Roman" w:hAnsi="Tahoma" w:cs="Tahoma"/>
                <w:i/>
                <w:sz w:val="24"/>
                <w:szCs w:val="24"/>
              </w:rPr>
            </w:pPr>
          </w:p>
        </w:tc>
      </w:tr>
      <w:tr w:rsidR="00794FEC" w:rsidRPr="00C81E28" w14:paraId="58FFBAE6" w14:textId="77777777" w:rsidTr="00DB1FA8">
        <w:trPr>
          <w:trHeight w:val="258"/>
        </w:trPr>
        <w:tc>
          <w:tcPr>
            <w:tcW w:w="2060" w:type="dxa"/>
            <w:tcBorders>
              <w:left w:val="single" w:sz="8" w:space="0" w:color="auto"/>
              <w:right w:val="single" w:sz="8" w:space="0" w:color="auto"/>
            </w:tcBorders>
            <w:vAlign w:val="bottom"/>
          </w:tcPr>
          <w:p w14:paraId="639D5AD9"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plastic+metal</w:t>
            </w:r>
          </w:p>
        </w:tc>
        <w:tc>
          <w:tcPr>
            <w:tcW w:w="2120" w:type="dxa"/>
            <w:tcBorders>
              <w:right w:val="single" w:sz="8" w:space="0" w:color="auto"/>
            </w:tcBorders>
            <w:vAlign w:val="bottom"/>
          </w:tcPr>
          <w:p w14:paraId="26B32AD3"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 xml:space="preserve"> 1 dată/ lună</w:t>
            </w:r>
          </w:p>
        </w:tc>
        <w:tc>
          <w:tcPr>
            <w:tcW w:w="2140" w:type="dxa"/>
            <w:tcBorders>
              <w:right w:val="single" w:sz="8" w:space="0" w:color="auto"/>
            </w:tcBorders>
            <w:vAlign w:val="bottom"/>
          </w:tcPr>
          <w:p w14:paraId="427E9B06"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/săpt.</w:t>
            </w:r>
          </w:p>
        </w:tc>
        <w:tc>
          <w:tcPr>
            <w:tcW w:w="1862" w:type="dxa"/>
            <w:tcBorders>
              <w:right w:val="single" w:sz="4" w:space="0" w:color="auto"/>
            </w:tcBorders>
            <w:vAlign w:val="bottom"/>
          </w:tcPr>
          <w:p w14:paraId="0E0DFBC4"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 xml:space="preserve">1 dată /lună </w:t>
            </w:r>
          </w:p>
        </w:tc>
        <w:tc>
          <w:tcPr>
            <w:tcW w:w="1559" w:type="dxa"/>
            <w:tcBorders>
              <w:left w:val="single" w:sz="4" w:space="0" w:color="auto"/>
              <w:right w:val="single" w:sz="8" w:space="0" w:color="auto"/>
            </w:tcBorders>
            <w:vAlign w:val="bottom"/>
          </w:tcPr>
          <w:p w14:paraId="498045BA"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/lună</w:t>
            </w:r>
          </w:p>
        </w:tc>
      </w:tr>
      <w:tr w:rsidR="00794FEC" w:rsidRPr="00C81E28" w14:paraId="6E520649" w14:textId="77777777" w:rsidTr="00DB1FA8">
        <w:trPr>
          <w:trHeight w:val="144"/>
        </w:trPr>
        <w:tc>
          <w:tcPr>
            <w:tcW w:w="2060" w:type="dxa"/>
            <w:tcBorders>
              <w:left w:val="single" w:sz="8" w:space="0" w:color="auto"/>
              <w:bottom w:val="single" w:sz="8" w:space="0" w:color="auto"/>
              <w:right w:val="single" w:sz="8" w:space="0" w:color="auto"/>
            </w:tcBorders>
            <w:vAlign w:val="bottom"/>
          </w:tcPr>
          <w:p w14:paraId="65B1EA96" w14:textId="77777777" w:rsidR="00794FEC" w:rsidRPr="00C81E28" w:rsidRDefault="00794FEC" w:rsidP="00DB1FA8">
            <w:pPr>
              <w:jc w:val="center"/>
              <w:rPr>
                <w:rFonts w:ascii="Tahoma" w:eastAsia="Times New Roman" w:hAnsi="Tahoma" w:cs="Tahoma"/>
                <w:i/>
                <w:sz w:val="24"/>
                <w:szCs w:val="24"/>
              </w:rPr>
            </w:pPr>
          </w:p>
        </w:tc>
        <w:tc>
          <w:tcPr>
            <w:tcW w:w="2120" w:type="dxa"/>
            <w:tcBorders>
              <w:bottom w:val="single" w:sz="8" w:space="0" w:color="auto"/>
              <w:right w:val="single" w:sz="8" w:space="0" w:color="auto"/>
            </w:tcBorders>
            <w:vAlign w:val="bottom"/>
          </w:tcPr>
          <w:p w14:paraId="75815EF2" w14:textId="77777777" w:rsidR="00794FEC" w:rsidRPr="00C81E28" w:rsidRDefault="00794FEC" w:rsidP="00DB1FA8">
            <w:pPr>
              <w:jc w:val="center"/>
              <w:rPr>
                <w:rFonts w:ascii="Tahoma" w:eastAsia="Times New Roman" w:hAnsi="Tahoma" w:cs="Tahoma"/>
                <w:i/>
                <w:sz w:val="24"/>
                <w:szCs w:val="24"/>
              </w:rPr>
            </w:pPr>
          </w:p>
        </w:tc>
        <w:tc>
          <w:tcPr>
            <w:tcW w:w="2140" w:type="dxa"/>
            <w:tcBorders>
              <w:bottom w:val="single" w:sz="8" w:space="0" w:color="auto"/>
              <w:right w:val="single" w:sz="8" w:space="0" w:color="auto"/>
            </w:tcBorders>
            <w:vAlign w:val="bottom"/>
          </w:tcPr>
          <w:p w14:paraId="7F245DAD" w14:textId="77777777" w:rsidR="00794FEC" w:rsidRPr="00C81E28" w:rsidRDefault="00794FEC" w:rsidP="00DB1FA8">
            <w:pPr>
              <w:jc w:val="center"/>
              <w:rPr>
                <w:rFonts w:ascii="Tahoma" w:eastAsia="Times New Roman" w:hAnsi="Tahoma" w:cs="Tahoma"/>
                <w:i/>
                <w:sz w:val="24"/>
                <w:szCs w:val="24"/>
              </w:rPr>
            </w:pPr>
          </w:p>
        </w:tc>
        <w:tc>
          <w:tcPr>
            <w:tcW w:w="1862" w:type="dxa"/>
            <w:tcBorders>
              <w:bottom w:val="single" w:sz="8" w:space="0" w:color="auto"/>
              <w:right w:val="single" w:sz="4" w:space="0" w:color="auto"/>
            </w:tcBorders>
            <w:vAlign w:val="bottom"/>
          </w:tcPr>
          <w:p w14:paraId="312AA81D" w14:textId="77777777" w:rsidR="00794FEC" w:rsidRPr="00C81E28" w:rsidRDefault="00794FEC" w:rsidP="00DB1FA8">
            <w:pPr>
              <w:jc w:val="center"/>
              <w:rPr>
                <w:rFonts w:ascii="Tahoma" w:eastAsia="Times New Roman" w:hAnsi="Tahoma" w:cs="Tahoma"/>
                <w:i/>
                <w:sz w:val="24"/>
                <w:szCs w:val="24"/>
              </w:rPr>
            </w:pPr>
          </w:p>
        </w:tc>
        <w:tc>
          <w:tcPr>
            <w:tcW w:w="1559" w:type="dxa"/>
            <w:tcBorders>
              <w:left w:val="single" w:sz="4" w:space="0" w:color="auto"/>
              <w:bottom w:val="single" w:sz="8" w:space="0" w:color="auto"/>
              <w:right w:val="single" w:sz="8" w:space="0" w:color="auto"/>
            </w:tcBorders>
            <w:vAlign w:val="bottom"/>
          </w:tcPr>
          <w:p w14:paraId="4C803A86" w14:textId="77777777" w:rsidR="00794FEC" w:rsidRPr="00C81E28" w:rsidRDefault="00794FEC" w:rsidP="00DB1FA8">
            <w:pPr>
              <w:jc w:val="center"/>
              <w:rPr>
                <w:rFonts w:ascii="Tahoma" w:eastAsia="Times New Roman" w:hAnsi="Tahoma" w:cs="Tahoma"/>
                <w:i/>
                <w:sz w:val="24"/>
                <w:szCs w:val="24"/>
              </w:rPr>
            </w:pPr>
          </w:p>
        </w:tc>
      </w:tr>
      <w:tr w:rsidR="00794FEC" w:rsidRPr="00C81E28" w14:paraId="5F38C87F" w14:textId="77777777" w:rsidTr="00DB1FA8">
        <w:trPr>
          <w:trHeight w:val="265"/>
        </w:trPr>
        <w:tc>
          <w:tcPr>
            <w:tcW w:w="2060" w:type="dxa"/>
            <w:tcBorders>
              <w:left w:val="single" w:sz="8" w:space="0" w:color="auto"/>
              <w:right w:val="single" w:sz="8" w:space="0" w:color="auto"/>
            </w:tcBorders>
            <w:vAlign w:val="bottom"/>
          </w:tcPr>
          <w:p w14:paraId="5BC81607"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sticlă</w:t>
            </w:r>
          </w:p>
        </w:tc>
        <w:tc>
          <w:tcPr>
            <w:tcW w:w="2120" w:type="dxa"/>
            <w:tcBorders>
              <w:right w:val="single" w:sz="8" w:space="0" w:color="auto"/>
            </w:tcBorders>
            <w:vAlign w:val="bottom"/>
          </w:tcPr>
          <w:p w14:paraId="2601FFF5" w14:textId="77777777" w:rsidR="00794FEC" w:rsidRPr="00C81E28" w:rsidRDefault="00794FEC" w:rsidP="00DB1FA8">
            <w:pPr>
              <w:jc w:val="center"/>
              <w:rPr>
                <w:rFonts w:ascii="Tahoma" w:eastAsia="Times New Roman" w:hAnsi="Tahoma" w:cs="Tahoma"/>
                <w:i/>
                <w:sz w:val="24"/>
                <w:szCs w:val="24"/>
              </w:rPr>
            </w:pPr>
            <w:bookmarkStart w:id="0" w:name="_Hlk15909617"/>
            <w:r w:rsidRPr="00C81E28">
              <w:rPr>
                <w:rFonts w:ascii="Tahoma" w:eastAsia="Times New Roman" w:hAnsi="Tahoma" w:cs="Tahoma"/>
                <w:i/>
                <w:sz w:val="24"/>
                <w:szCs w:val="24"/>
              </w:rPr>
              <w:t>1 dată/</w:t>
            </w:r>
            <w:bookmarkEnd w:id="0"/>
            <w:r w:rsidRPr="00C81E28">
              <w:rPr>
                <w:rFonts w:ascii="Tahoma" w:eastAsia="Times New Roman" w:hAnsi="Tahoma" w:cs="Tahoma"/>
                <w:i/>
                <w:sz w:val="24"/>
                <w:szCs w:val="24"/>
              </w:rPr>
              <w:t xml:space="preserve"> 2 luni</w:t>
            </w:r>
          </w:p>
        </w:tc>
        <w:tc>
          <w:tcPr>
            <w:tcW w:w="2140" w:type="dxa"/>
            <w:tcBorders>
              <w:right w:val="single" w:sz="8" w:space="0" w:color="auto"/>
            </w:tcBorders>
            <w:vAlign w:val="bottom"/>
          </w:tcPr>
          <w:p w14:paraId="35C525AF"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/lună</w:t>
            </w:r>
          </w:p>
        </w:tc>
        <w:tc>
          <w:tcPr>
            <w:tcW w:w="1862" w:type="dxa"/>
            <w:tcBorders>
              <w:right w:val="single" w:sz="8" w:space="0" w:color="auto"/>
            </w:tcBorders>
            <w:vAlign w:val="bottom"/>
          </w:tcPr>
          <w:p w14:paraId="67436F95"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3 luni</w:t>
            </w:r>
          </w:p>
        </w:tc>
        <w:tc>
          <w:tcPr>
            <w:tcW w:w="1559" w:type="dxa"/>
            <w:tcBorders>
              <w:right w:val="single" w:sz="8" w:space="0" w:color="auto"/>
            </w:tcBorders>
            <w:vAlign w:val="bottom"/>
          </w:tcPr>
          <w:p w14:paraId="211C8C22"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1 dată/ lună</w:t>
            </w:r>
          </w:p>
        </w:tc>
      </w:tr>
      <w:tr w:rsidR="00794FEC" w:rsidRPr="00C81E28" w14:paraId="4132EF4B" w14:textId="77777777" w:rsidTr="00DB1FA8">
        <w:trPr>
          <w:trHeight w:val="140"/>
        </w:trPr>
        <w:tc>
          <w:tcPr>
            <w:tcW w:w="2060" w:type="dxa"/>
            <w:tcBorders>
              <w:left w:val="single" w:sz="8" w:space="0" w:color="auto"/>
              <w:bottom w:val="single" w:sz="4" w:space="0" w:color="auto"/>
              <w:right w:val="single" w:sz="8" w:space="0" w:color="auto"/>
            </w:tcBorders>
            <w:vAlign w:val="bottom"/>
          </w:tcPr>
          <w:p w14:paraId="2070894E" w14:textId="77777777" w:rsidR="00794FEC" w:rsidRPr="00C81E28" w:rsidRDefault="00794FEC" w:rsidP="00DB1FA8">
            <w:pPr>
              <w:rPr>
                <w:rFonts w:ascii="Tahoma" w:eastAsia="Times New Roman" w:hAnsi="Tahoma" w:cs="Tahoma"/>
                <w:i/>
                <w:sz w:val="24"/>
                <w:szCs w:val="24"/>
              </w:rPr>
            </w:pPr>
          </w:p>
        </w:tc>
        <w:tc>
          <w:tcPr>
            <w:tcW w:w="2120" w:type="dxa"/>
            <w:tcBorders>
              <w:bottom w:val="single" w:sz="4" w:space="0" w:color="auto"/>
              <w:right w:val="single" w:sz="8" w:space="0" w:color="auto"/>
            </w:tcBorders>
            <w:vAlign w:val="bottom"/>
          </w:tcPr>
          <w:p w14:paraId="18502EA9" w14:textId="77777777" w:rsidR="00794FEC" w:rsidRPr="00C81E28" w:rsidRDefault="00794FEC" w:rsidP="00DB1FA8">
            <w:pPr>
              <w:rPr>
                <w:rFonts w:ascii="Tahoma" w:eastAsia="Times New Roman" w:hAnsi="Tahoma" w:cs="Tahoma"/>
                <w:i/>
                <w:sz w:val="24"/>
                <w:szCs w:val="24"/>
              </w:rPr>
            </w:pPr>
          </w:p>
        </w:tc>
        <w:tc>
          <w:tcPr>
            <w:tcW w:w="2140" w:type="dxa"/>
            <w:tcBorders>
              <w:bottom w:val="single" w:sz="4" w:space="0" w:color="auto"/>
              <w:right w:val="single" w:sz="8" w:space="0" w:color="auto"/>
            </w:tcBorders>
            <w:vAlign w:val="bottom"/>
          </w:tcPr>
          <w:p w14:paraId="571ABB25" w14:textId="77777777" w:rsidR="00794FEC" w:rsidRPr="00C81E28" w:rsidRDefault="00794FEC" w:rsidP="00DB1FA8">
            <w:pPr>
              <w:rPr>
                <w:rFonts w:ascii="Tahoma" w:eastAsia="Times New Roman" w:hAnsi="Tahoma" w:cs="Tahoma"/>
                <w:i/>
                <w:sz w:val="24"/>
                <w:szCs w:val="24"/>
              </w:rPr>
            </w:pPr>
          </w:p>
        </w:tc>
        <w:tc>
          <w:tcPr>
            <w:tcW w:w="1862" w:type="dxa"/>
            <w:tcBorders>
              <w:bottom w:val="single" w:sz="4" w:space="0" w:color="auto"/>
              <w:right w:val="single" w:sz="8" w:space="0" w:color="auto"/>
            </w:tcBorders>
            <w:vAlign w:val="bottom"/>
          </w:tcPr>
          <w:p w14:paraId="378A6BA9" w14:textId="77777777" w:rsidR="00794FEC" w:rsidRPr="00C81E28" w:rsidRDefault="00794FEC" w:rsidP="00DB1FA8">
            <w:pPr>
              <w:rPr>
                <w:rFonts w:ascii="Tahoma" w:eastAsia="Times New Roman" w:hAnsi="Tahoma" w:cs="Tahoma"/>
                <w:i/>
                <w:sz w:val="24"/>
                <w:szCs w:val="24"/>
              </w:rPr>
            </w:pPr>
          </w:p>
        </w:tc>
        <w:tc>
          <w:tcPr>
            <w:tcW w:w="1559" w:type="dxa"/>
            <w:tcBorders>
              <w:bottom w:val="single" w:sz="4" w:space="0" w:color="auto"/>
              <w:right w:val="single" w:sz="8" w:space="0" w:color="auto"/>
            </w:tcBorders>
            <w:vAlign w:val="bottom"/>
          </w:tcPr>
          <w:p w14:paraId="5450F77A" w14:textId="77777777" w:rsidR="00794FEC" w:rsidRPr="00C81E28" w:rsidRDefault="00794FEC" w:rsidP="00DB1FA8">
            <w:pPr>
              <w:rPr>
                <w:rFonts w:ascii="Tahoma" w:eastAsia="Times New Roman" w:hAnsi="Tahoma" w:cs="Tahoma"/>
                <w:i/>
                <w:sz w:val="24"/>
                <w:szCs w:val="24"/>
              </w:rPr>
            </w:pPr>
          </w:p>
        </w:tc>
      </w:tr>
      <w:tr w:rsidR="00794FEC" w:rsidRPr="00C81E28" w14:paraId="496696A1" w14:textId="77777777" w:rsidTr="00DB1FA8">
        <w:trPr>
          <w:trHeight w:val="140"/>
        </w:trPr>
        <w:tc>
          <w:tcPr>
            <w:tcW w:w="2060" w:type="dxa"/>
            <w:tcBorders>
              <w:top w:val="single" w:sz="4" w:space="0" w:color="auto"/>
              <w:left w:val="single" w:sz="8" w:space="0" w:color="auto"/>
              <w:bottom w:val="single" w:sz="4" w:space="0" w:color="auto"/>
              <w:right w:val="single" w:sz="8" w:space="0" w:color="auto"/>
            </w:tcBorders>
            <w:vAlign w:val="bottom"/>
          </w:tcPr>
          <w:p w14:paraId="5A12E045" w14:textId="77777777" w:rsidR="00794FEC" w:rsidRPr="00C81E28" w:rsidRDefault="00794FEC" w:rsidP="00DB1FA8">
            <w:pPr>
              <w:rPr>
                <w:rFonts w:ascii="Tahoma" w:eastAsia="Times New Roman" w:hAnsi="Tahoma" w:cs="Tahoma"/>
                <w:i/>
                <w:sz w:val="24"/>
                <w:szCs w:val="24"/>
              </w:rPr>
            </w:pPr>
            <w:r w:rsidRPr="00C81E28">
              <w:rPr>
                <w:rFonts w:ascii="Tahoma" w:eastAsia="Times New Roman" w:hAnsi="Tahoma" w:cs="Tahoma"/>
                <w:i/>
                <w:sz w:val="24"/>
                <w:szCs w:val="24"/>
              </w:rPr>
              <w:t>Deșeuri biodegradabile</w:t>
            </w:r>
          </w:p>
        </w:tc>
        <w:tc>
          <w:tcPr>
            <w:tcW w:w="2120" w:type="dxa"/>
            <w:tcBorders>
              <w:top w:val="single" w:sz="4" w:space="0" w:color="auto"/>
              <w:bottom w:val="single" w:sz="4" w:space="0" w:color="auto"/>
              <w:right w:val="single" w:sz="8" w:space="0" w:color="auto"/>
            </w:tcBorders>
            <w:vAlign w:val="bottom"/>
          </w:tcPr>
          <w:p w14:paraId="2132909C" w14:textId="77777777" w:rsidR="00794FEC" w:rsidRPr="00C81E28" w:rsidRDefault="00794FEC" w:rsidP="00DB1FA8">
            <w:pPr>
              <w:rPr>
                <w:rFonts w:ascii="Tahoma" w:eastAsia="Times New Roman" w:hAnsi="Tahoma" w:cs="Tahoma"/>
                <w:i/>
                <w:sz w:val="24"/>
                <w:szCs w:val="24"/>
              </w:rPr>
            </w:pPr>
            <w:r w:rsidRPr="00C81E28">
              <w:rPr>
                <w:rFonts w:ascii="Tahoma" w:eastAsia="Times New Roman" w:hAnsi="Tahoma" w:cs="Tahoma"/>
                <w:i/>
                <w:sz w:val="24"/>
                <w:szCs w:val="24"/>
              </w:rPr>
              <w:t>Compostare individuală</w:t>
            </w:r>
          </w:p>
        </w:tc>
        <w:tc>
          <w:tcPr>
            <w:tcW w:w="2140" w:type="dxa"/>
            <w:tcBorders>
              <w:top w:val="single" w:sz="4" w:space="0" w:color="auto"/>
              <w:bottom w:val="single" w:sz="4" w:space="0" w:color="auto"/>
              <w:right w:val="single" w:sz="8" w:space="0" w:color="auto"/>
            </w:tcBorders>
            <w:vAlign w:val="bottom"/>
          </w:tcPr>
          <w:p w14:paraId="2BE26679" w14:textId="77777777" w:rsidR="00794FEC" w:rsidRPr="00C81E28" w:rsidRDefault="00794FEC" w:rsidP="00DB1FA8">
            <w:pPr>
              <w:rPr>
                <w:rFonts w:ascii="Tahoma" w:eastAsia="Times New Roman" w:hAnsi="Tahoma" w:cs="Tahoma"/>
                <w:i/>
                <w:sz w:val="24"/>
                <w:szCs w:val="24"/>
              </w:rPr>
            </w:pPr>
            <w:r w:rsidRPr="00C81E28">
              <w:rPr>
                <w:rFonts w:ascii="Tahoma" w:eastAsia="Times New Roman" w:hAnsi="Tahoma" w:cs="Tahoma"/>
                <w:i/>
                <w:sz w:val="24"/>
                <w:szCs w:val="24"/>
              </w:rPr>
              <w:t>5 ori/săptămână</w:t>
            </w:r>
          </w:p>
        </w:tc>
        <w:tc>
          <w:tcPr>
            <w:tcW w:w="1862" w:type="dxa"/>
            <w:tcBorders>
              <w:top w:val="single" w:sz="4" w:space="0" w:color="auto"/>
              <w:bottom w:val="single" w:sz="4" w:space="0" w:color="auto"/>
              <w:right w:val="single" w:sz="8" w:space="0" w:color="auto"/>
            </w:tcBorders>
            <w:vAlign w:val="bottom"/>
          </w:tcPr>
          <w:p w14:paraId="2781F378" w14:textId="77777777" w:rsidR="00794FEC" w:rsidRPr="00C81E28" w:rsidRDefault="00794FEC" w:rsidP="00DB1FA8">
            <w:pPr>
              <w:rPr>
                <w:rFonts w:ascii="Tahoma" w:eastAsia="Times New Roman" w:hAnsi="Tahoma" w:cs="Tahoma"/>
                <w:i/>
                <w:sz w:val="24"/>
                <w:szCs w:val="24"/>
              </w:rPr>
            </w:pPr>
            <w:r w:rsidRPr="00C81E28">
              <w:rPr>
                <w:rFonts w:ascii="Tahoma" w:eastAsia="Times New Roman" w:hAnsi="Tahoma" w:cs="Tahoma"/>
                <w:i/>
                <w:sz w:val="24"/>
                <w:szCs w:val="24"/>
              </w:rPr>
              <w:t>Compostare individuală</w:t>
            </w:r>
          </w:p>
        </w:tc>
        <w:tc>
          <w:tcPr>
            <w:tcW w:w="1559" w:type="dxa"/>
            <w:tcBorders>
              <w:top w:val="single" w:sz="4" w:space="0" w:color="auto"/>
              <w:bottom w:val="single" w:sz="4" w:space="0" w:color="auto"/>
              <w:right w:val="single" w:sz="8" w:space="0" w:color="auto"/>
            </w:tcBorders>
            <w:vAlign w:val="bottom"/>
          </w:tcPr>
          <w:p w14:paraId="3F660F52" w14:textId="77777777" w:rsidR="00794FEC" w:rsidRPr="00C81E28" w:rsidRDefault="00794FEC" w:rsidP="00DB1FA8">
            <w:pPr>
              <w:rPr>
                <w:rFonts w:ascii="Tahoma" w:eastAsia="Times New Roman" w:hAnsi="Tahoma" w:cs="Tahoma"/>
                <w:i/>
                <w:sz w:val="24"/>
                <w:szCs w:val="24"/>
              </w:rPr>
            </w:pPr>
            <w:r w:rsidRPr="00C81E28">
              <w:rPr>
                <w:rFonts w:ascii="Tahoma" w:eastAsia="Times New Roman" w:hAnsi="Tahoma" w:cs="Tahoma"/>
                <w:i/>
                <w:sz w:val="24"/>
                <w:szCs w:val="24"/>
              </w:rPr>
              <w:t>de 2 ori/săpt.</w:t>
            </w:r>
          </w:p>
        </w:tc>
      </w:tr>
      <w:tr w:rsidR="00794FEC" w:rsidRPr="00C81E28" w14:paraId="1052EF03" w14:textId="77777777" w:rsidTr="00DB1FA8">
        <w:trPr>
          <w:trHeight w:val="140"/>
        </w:trPr>
        <w:tc>
          <w:tcPr>
            <w:tcW w:w="2060" w:type="dxa"/>
            <w:tcBorders>
              <w:top w:val="single" w:sz="4" w:space="0" w:color="auto"/>
              <w:left w:val="single" w:sz="8" w:space="0" w:color="auto"/>
              <w:bottom w:val="single" w:sz="8" w:space="0" w:color="auto"/>
              <w:right w:val="single" w:sz="8" w:space="0" w:color="auto"/>
            </w:tcBorders>
            <w:vAlign w:val="bottom"/>
          </w:tcPr>
          <w:p w14:paraId="7FAD7028" w14:textId="77777777" w:rsidR="00794FEC" w:rsidRPr="00C81E28" w:rsidRDefault="00794FEC" w:rsidP="00DB1FA8">
            <w:pPr>
              <w:rPr>
                <w:rFonts w:ascii="Tahoma" w:eastAsia="Times New Roman" w:hAnsi="Tahoma" w:cs="Tahoma"/>
                <w:i/>
                <w:sz w:val="24"/>
                <w:szCs w:val="24"/>
              </w:rPr>
            </w:pPr>
            <w:r w:rsidRPr="00C81E28">
              <w:rPr>
                <w:rFonts w:ascii="Tahoma" w:eastAsia="Times New Roman" w:hAnsi="Tahoma" w:cs="Tahoma"/>
                <w:i/>
                <w:sz w:val="24"/>
                <w:szCs w:val="24"/>
              </w:rPr>
              <w:t>Deșeuri textile</w:t>
            </w:r>
          </w:p>
        </w:tc>
        <w:tc>
          <w:tcPr>
            <w:tcW w:w="4260" w:type="dxa"/>
            <w:gridSpan w:val="2"/>
            <w:tcBorders>
              <w:top w:val="single" w:sz="4" w:space="0" w:color="auto"/>
              <w:bottom w:val="single" w:sz="8" w:space="0" w:color="auto"/>
              <w:right w:val="single" w:sz="8" w:space="0" w:color="auto"/>
            </w:tcBorders>
            <w:vAlign w:val="bottom"/>
          </w:tcPr>
          <w:p w14:paraId="3BB4AE49"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O dată la 3 luni</w:t>
            </w:r>
          </w:p>
        </w:tc>
        <w:tc>
          <w:tcPr>
            <w:tcW w:w="3421" w:type="dxa"/>
            <w:gridSpan w:val="2"/>
            <w:tcBorders>
              <w:top w:val="single" w:sz="4" w:space="0" w:color="auto"/>
              <w:bottom w:val="single" w:sz="8" w:space="0" w:color="auto"/>
              <w:right w:val="single" w:sz="8" w:space="0" w:color="auto"/>
            </w:tcBorders>
            <w:vAlign w:val="bottom"/>
          </w:tcPr>
          <w:p w14:paraId="1D8EF4D2" w14:textId="77777777" w:rsidR="00794FEC" w:rsidRPr="00C81E28" w:rsidRDefault="00794FEC" w:rsidP="00DB1FA8">
            <w:pPr>
              <w:jc w:val="center"/>
              <w:rPr>
                <w:rFonts w:ascii="Tahoma" w:eastAsia="Times New Roman" w:hAnsi="Tahoma" w:cs="Tahoma"/>
                <w:i/>
                <w:sz w:val="24"/>
                <w:szCs w:val="24"/>
              </w:rPr>
            </w:pPr>
            <w:r w:rsidRPr="00C81E28">
              <w:rPr>
                <w:rFonts w:ascii="Tahoma" w:eastAsia="Times New Roman" w:hAnsi="Tahoma" w:cs="Tahoma"/>
                <w:i/>
                <w:sz w:val="24"/>
                <w:szCs w:val="24"/>
              </w:rPr>
              <w:t>O dată la 3 luni</w:t>
            </w:r>
          </w:p>
        </w:tc>
      </w:tr>
    </w:tbl>
    <w:p w14:paraId="58A80DF2" w14:textId="77777777" w:rsidR="00794FEC"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p>
    <w:p w14:paraId="422BDE2C" w14:textId="77777777" w:rsidR="00794FEC"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6 Art. 21, alin. (7</w:t>
      </w:r>
      <w:r w:rsidRPr="00C202A5">
        <w:rPr>
          <w:rFonts w:ascii="Tahoma" w:eastAsia="Times New Roman" w:hAnsi="Tahoma" w:cs="Tahoma"/>
          <w:b/>
          <w:sz w:val="24"/>
          <w:szCs w:val="24"/>
        </w:rPr>
        <w:t>)</w:t>
      </w:r>
      <w:r>
        <w:rPr>
          <w:rFonts w:ascii="Tahoma" w:eastAsia="Times New Roman" w:hAnsi="Tahoma" w:cs="Tahoma"/>
          <w:b/>
          <w:sz w:val="24"/>
          <w:szCs w:val="24"/>
        </w:rPr>
        <w:t xml:space="preserve"> și (8)</w:t>
      </w:r>
      <w:r w:rsidRPr="00C202A5">
        <w:rPr>
          <w:rFonts w:ascii="Tahoma" w:eastAsia="Times New Roman" w:hAnsi="Tahoma" w:cs="Tahoma"/>
          <w:b/>
          <w:sz w:val="24"/>
          <w:szCs w:val="24"/>
        </w:rPr>
        <w:t xml:space="preserve"> din Regulamentul de salubrizare s</w:t>
      </w:r>
      <w:r>
        <w:rPr>
          <w:rFonts w:ascii="Tahoma" w:eastAsia="Times New Roman" w:hAnsi="Tahoma" w:cs="Tahoma"/>
          <w:b/>
          <w:sz w:val="24"/>
          <w:szCs w:val="24"/>
        </w:rPr>
        <w:t>e modifică, se completează și vor</w:t>
      </w:r>
      <w:r w:rsidRPr="00C202A5">
        <w:rPr>
          <w:rFonts w:ascii="Tahoma" w:eastAsia="Times New Roman" w:hAnsi="Tahoma" w:cs="Tahoma"/>
          <w:b/>
          <w:sz w:val="24"/>
          <w:szCs w:val="24"/>
        </w:rPr>
        <w:t xml:space="preserve"> avea următorul conținut:</w:t>
      </w:r>
    </w:p>
    <w:p w14:paraId="27F70EFC" w14:textId="77777777" w:rsidR="00794FEC" w:rsidRPr="00BE1965"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BE1965">
        <w:rPr>
          <w:rFonts w:ascii="Tahoma" w:eastAsia="Times New Roman" w:hAnsi="Tahoma" w:cs="Tahoma"/>
          <w:i/>
          <w:sz w:val="24"/>
          <w:szCs w:val="24"/>
        </w:rPr>
        <w:t>(7)</w:t>
      </w:r>
      <w:r w:rsidRPr="00BE1965">
        <w:rPr>
          <w:rFonts w:ascii="Tahoma" w:eastAsia="Times New Roman" w:hAnsi="Tahoma" w:cs="Tahoma"/>
          <w:i/>
          <w:sz w:val="24"/>
          <w:szCs w:val="24"/>
        </w:rPr>
        <w:tab/>
        <w:t>Operatorul de colectare are obligația să întocmească și să transmită tuturor agenților economici și instituțiilor publice programul de colectare pentru deșeurile similare (reziduale, biodegradabile și, după caz, reciclabile) precum și să transmită programul de colectare centralizat, pe tot județul, detaliat pe fiecare UAT, pe zone și zile de colectare către A.D.I. Deșeuri Bistrița-Năsăud, în vederea monitorizării respectării acestuia.</w:t>
      </w:r>
    </w:p>
    <w:p w14:paraId="4C069A96" w14:textId="77777777" w:rsidR="00794FEC" w:rsidRDefault="00794FEC" w:rsidP="00794FEC">
      <w:pPr>
        <w:spacing w:after="160" w:line="267" w:lineRule="auto"/>
        <w:contextualSpacing/>
        <w:jc w:val="both"/>
        <w:rPr>
          <w:rFonts w:ascii="Tahoma" w:eastAsia="Times New Roman" w:hAnsi="Tahoma" w:cs="Tahoma"/>
          <w:i/>
          <w:sz w:val="24"/>
          <w:szCs w:val="24"/>
        </w:rPr>
      </w:pPr>
      <w:r w:rsidRPr="00BE1965">
        <w:rPr>
          <w:rFonts w:ascii="Tahoma" w:eastAsia="Times New Roman" w:hAnsi="Tahoma" w:cs="Tahoma"/>
          <w:i/>
          <w:sz w:val="24"/>
          <w:szCs w:val="24"/>
        </w:rPr>
        <w:t>(8)</w:t>
      </w:r>
      <w:r w:rsidRPr="00BE1965">
        <w:rPr>
          <w:rFonts w:ascii="Tahoma" w:eastAsia="Times New Roman" w:hAnsi="Tahoma" w:cs="Tahoma"/>
          <w:i/>
          <w:sz w:val="24"/>
          <w:szCs w:val="24"/>
        </w:rPr>
        <w:tab/>
        <w:t>Operatorul va organiza colectarea deșeurilor textile în cadrul unui flux separat, cu o frecvență de o dată la 3 luni, în mediul urban și rural - zona cu case și blocuri, de la persoane fizice, inclusiv asociații de locatari/proprietari și de la agenți economici/instituții publice, cu notificarea prealabilă a utilizatorilor asupra datelor exacte de colectare. De asemenea, deșeurile textile pot fi transportate în Stațiile de transfer/ Centrele de colectare de către generatori, caz în care operatorul va prelua gratuit aceste deșeuri, sau pe bază de comandă, contra cost, la tariful aprobat pentru deșeurile reziduale. Autoritățile publice locale au posibilitatea de a achiziționa containere speciale pentru deșeurile textile și de a le amplasa pe domeniul public. În acest caz, operatorul va colecta deșeurile textile, contra cost, în temeiul art. 60, alin. (1), A., lit. g)- h) din OUG nr. 92/2021.</w:t>
      </w:r>
      <w:r>
        <w:rPr>
          <w:rFonts w:ascii="Tahoma" w:eastAsia="Times New Roman" w:hAnsi="Tahoma" w:cs="Tahoma"/>
          <w:i/>
          <w:sz w:val="24"/>
          <w:szCs w:val="24"/>
        </w:rPr>
        <w:t>”</w:t>
      </w:r>
    </w:p>
    <w:p w14:paraId="34653972" w14:textId="77777777" w:rsidR="00794FEC" w:rsidRDefault="00794FEC" w:rsidP="00794FEC">
      <w:pPr>
        <w:spacing w:after="160" w:line="267" w:lineRule="auto"/>
        <w:contextualSpacing/>
        <w:jc w:val="both"/>
        <w:rPr>
          <w:rFonts w:ascii="Tahoma" w:eastAsia="Times New Roman" w:hAnsi="Tahoma" w:cs="Tahoma"/>
          <w:i/>
          <w:sz w:val="24"/>
          <w:szCs w:val="24"/>
        </w:rPr>
      </w:pPr>
    </w:p>
    <w:p w14:paraId="2A5992CC"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7 Art. 22</w:t>
      </w:r>
      <w:r w:rsidRPr="00C202A5">
        <w:rPr>
          <w:rFonts w:ascii="Tahoma" w:eastAsia="Times New Roman" w:hAnsi="Tahoma" w:cs="Tahoma"/>
          <w:b/>
          <w:sz w:val="24"/>
          <w:szCs w:val="24"/>
        </w:rPr>
        <w:t>, alin. (8)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4961616B" w14:textId="77777777" w:rsidR="00794FEC" w:rsidRPr="00EA1944"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lastRenderedPageBreak/>
        <w:t>„</w:t>
      </w:r>
      <w:r w:rsidRPr="00913539">
        <w:rPr>
          <w:rFonts w:ascii="Tahoma" w:eastAsia="Times New Roman" w:hAnsi="Tahoma" w:cs="Tahoma"/>
          <w:i/>
          <w:sz w:val="24"/>
          <w:szCs w:val="24"/>
        </w:rPr>
        <w:t xml:space="preserve">(8) </w:t>
      </w:r>
      <w:r w:rsidRPr="00EA1944">
        <w:rPr>
          <w:rFonts w:ascii="Tahoma" w:eastAsia="Times New Roman" w:hAnsi="Tahoma" w:cs="Tahoma"/>
          <w:i/>
          <w:sz w:val="24"/>
          <w:szCs w:val="24"/>
        </w:rPr>
        <w:t>Sunt considerate deșeuri abandonate și vor fi colectate de operator într-un flux separat următoarele categorii de deșeuri:</w:t>
      </w:r>
    </w:p>
    <w:p w14:paraId="37E32063" w14:textId="77777777" w:rsidR="00794FEC" w:rsidRPr="00EA1944" w:rsidRDefault="00794FEC" w:rsidP="00794FEC">
      <w:pPr>
        <w:spacing w:after="160" w:line="267" w:lineRule="auto"/>
        <w:contextualSpacing/>
        <w:jc w:val="both"/>
        <w:rPr>
          <w:rFonts w:ascii="Tahoma" w:eastAsia="Times New Roman" w:hAnsi="Tahoma" w:cs="Tahoma"/>
          <w:i/>
          <w:sz w:val="24"/>
          <w:szCs w:val="24"/>
        </w:rPr>
      </w:pPr>
      <w:r w:rsidRPr="00EA1944">
        <w:rPr>
          <w:rFonts w:ascii="Tahoma" w:eastAsia="Times New Roman" w:hAnsi="Tahoma" w:cs="Tahoma"/>
          <w:i/>
          <w:sz w:val="24"/>
          <w:szCs w:val="24"/>
        </w:rPr>
        <w:t>(a) reziduale, biodegradabile și reciclabile aflate pe domeniul public;</w:t>
      </w:r>
    </w:p>
    <w:p w14:paraId="1F5E39A1" w14:textId="77777777" w:rsidR="00794FEC" w:rsidRPr="00EA1944" w:rsidRDefault="00794FEC" w:rsidP="00794FEC">
      <w:pPr>
        <w:spacing w:after="160" w:line="267" w:lineRule="auto"/>
        <w:contextualSpacing/>
        <w:jc w:val="both"/>
        <w:rPr>
          <w:rFonts w:ascii="Tahoma" w:eastAsia="Times New Roman" w:hAnsi="Tahoma" w:cs="Tahoma"/>
          <w:i/>
          <w:sz w:val="24"/>
          <w:szCs w:val="24"/>
        </w:rPr>
      </w:pPr>
      <w:r w:rsidRPr="00EA1944">
        <w:rPr>
          <w:rFonts w:ascii="Tahoma" w:eastAsia="Times New Roman" w:hAnsi="Tahoma" w:cs="Tahoma"/>
          <w:i/>
          <w:sz w:val="24"/>
          <w:szCs w:val="24"/>
        </w:rPr>
        <w:t>(b) voluminoase aflate pe domeniul public și pe platformele de colectare (în afara campaniilor gratuite de colectare a acestei fracții);</w:t>
      </w:r>
    </w:p>
    <w:p w14:paraId="7CD589C9" w14:textId="77777777" w:rsidR="00794FEC" w:rsidRPr="00EA1944" w:rsidRDefault="00794FEC" w:rsidP="00794FEC">
      <w:pPr>
        <w:spacing w:after="160" w:line="267" w:lineRule="auto"/>
        <w:contextualSpacing/>
        <w:jc w:val="both"/>
        <w:rPr>
          <w:rFonts w:ascii="Tahoma" w:eastAsia="Times New Roman" w:hAnsi="Tahoma" w:cs="Tahoma"/>
          <w:i/>
          <w:sz w:val="24"/>
          <w:szCs w:val="24"/>
        </w:rPr>
      </w:pPr>
      <w:r w:rsidRPr="00EA1944">
        <w:rPr>
          <w:rFonts w:ascii="Tahoma" w:eastAsia="Times New Roman" w:hAnsi="Tahoma" w:cs="Tahoma"/>
          <w:i/>
          <w:sz w:val="24"/>
          <w:szCs w:val="24"/>
        </w:rPr>
        <w:t>(c) deșeuri din construcții și desființări (DCD) aflate pe domeniul public și pe platformele de colectare;</w:t>
      </w:r>
    </w:p>
    <w:p w14:paraId="2713DBFB" w14:textId="77777777" w:rsidR="00794FEC" w:rsidRPr="00EA1944" w:rsidRDefault="00794FEC" w:rsidP="00794FEC">
      <w:pPr>
        <w:spacing w:after="160" w:line="267" w:lineRule="auto"/>
        <w:contextualSpacing/>
        <w:jc w:val="both"/>
        <w:rPr>
          <w:rFonts w:ascii="Tahoma" w:eastAsia="Times New Roman" w:hAnsi="Tahoma" w:cs="Tahoma"/>
          <w:i/>
          <w:sz w:val="24"/>
          <w:szCs w:val="24"/>
        </w:rPr>
      </w:pPr>
      <w:r w:rsidRPr="00EA1944">
        <w:rPr>
          <w:rFonts w:ascii="Tahoma" w:eastAsia="Times New Roman" w:hAnsi="Tahoma" w:cs="Tahoma"/>
          <w:i/>
          <w:sz w:val="24"/>
          <w:szCs w:val="24"/>
        </w:rPr>
        <w:t>(d) periculoase, textile și verzi aflate pe domeniul public și pe platformele de colectare (în afara campaniilor gratuite de colectare a acestor fracții de deșeuri, respectiv a frecvențelor comunicate pentru deșeurile textile);</w:t>
      </w:r>
    </w:p>
    <w:p w14:paraId="3FEAFEAE" w14:textId="77777777" w:rsidR="00794FEC" w:rsidRPr="00EA1944" w:rsidRDefault="00794FEC" w:rsidP="00794FEC">
      <w:pPr>
        <w:spacing w:after="160" w:line="267" w:lineRule="auto"/>
        <w:contextualSpacing/>
        <w:jc w:val="both"/>
        <w:rPr>
          <w:rFonts w:ascii="Tahoma" w:eastAsia="Times New Roman" w:hAnsi="Tahoma" w:cs="Tahoma"/>
          <w:i/>
          <w:sz w:val="24"/>
          <w:szCs w:val="24"/>
        </w:rPr>
      </w:pPr>
      <w:r w:rsidRPr="00EA1944">
        <w:rPr>
          <w:rFonts w:ascii="Tahoma" w:eastAsia="Times New Roman" w:hAnsi="Tahoma" w:cs="Tahoma"/>
          <w:i/>
          <w:sz w:val="24"/>
          <w:szCs w:val="24"/>
        </w:rPr>
        <w:t>(e) În cazul unei colectări etapizate, prioritatea de colectare va fi acordată deșeurilor reziduale și biodegradabile sau, dacă se poate face altfel distincția, a celor cu risc mai ridicat pentru sănătatea publică.</w:t>
      </w:r>
    </w:p>
    <w:p w14:paraId="35393287" w14:textId="77777777" w:rsidR="00794FEC" w:rsidRPr="00913539" w:rsidRDefault="00794FEC" w:rsidP="00794FEC">
      <w:pPr>
        <w:spacing w:after="160" w:line="267" w:lineRule="auto"/>
        <w:contextualSpacing/>
        <w:jc w:val="both"/>
        <w:rPr>
          <w:rFonts w:ascii="Tahoma" w:eastAsia="Times New Roman" w:hAnsi="Tahoma" w:cs="Tahoma"/>
          <w:i/>
          <w:sz w:val="24"/>
          <w:szCs w:val="24"/>
        </w:rPr>
      </w:pPr>
      <w:r w:rsidRPr="00EA1944">
        <w:rPr>
          <w:rFonts w:ascii="Tahoma" w:eastAsia="Times New Roman" w:hAnsi="Tahoma" w:cs="Tahoma"/>
          <w:i/>
          <w:sz w:val="24"/>
          <w:szCs w:val="24"/>
        </w:rPr>
        <w:t>(f) deșeurile abandonate vor fi colectate de către operator la tarifele aprobate în conformitate cu normele legale, atât pentru deșeurile municipale abandonate, cât și pentru deșeurile abandonate provenite din lucrări de construcții. Factura va fi emisă către unitatea administrativ-teritorială de pe raza căreia au fost colectate deșeurile.</w:t>
      </w:r>
      <w:r>
        <w:rPr>
          <w:rFonts w:ascii="Tahoma" w:eastAsia="Times New Roman" w:hAnsi="Tahoma" w:cs="Tahoma"/>
          <w:i/>
          <w:sz w:val="24"/>
          <w:szCs w:val="24"/>
        </w:rPr>
        <w:t>”</w:t>
      </w:r>
    </w:p>
    <w:p w14:paraId="6E542C4C" w14:textId="77777777" w:rsidR="00794FEC" w:rsidRDefault="00794FEC" w:rsidP="00794FEC">
      <w:pPr>
        <w:spacing w:after="160" w:line="267" w:lineRule="auto"/>
        <w:contextualSpacing/>
        <w:jc w:val="both"/>
        <w:rPr>
          <w:rFonts w:ascii="Tahoma" w:eastAsia="Times New Roman" w:hAnsi="Tahoma" w:cs="Tahoma"/>
          <w:sz w:val="24"/>
          <w:szCs w:val="24"/>
        </w:rPr>
      </w:pPr>
    </w:p>
    <w:p w14:paraId="2E3455D9"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8. Art. 27, alin. (2</w:t>
      </w:r>
      <w:r w:rsidRPr="00C202A5">
        <w:rPr>
          <w:rFonts w:ascii="Tahoma" w:eastAsia="Times New Roman" w:hAnsi="Tahoma" w:cs="Tahoma"/>
          <w:b/>
          <w:sz w:val="24"/>
          <w:szCs w:val="24"/>
        </w:rPr>
        <w:t>)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28CE3196" w14:textId="77777777" w:rsidR="00794FEC"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300D44">
        <w:rPr>
          <w:rFonts w:ascii="Tahoma" w:eastAsia="Times New Roman" w:hAnsi="Tahoma" w:cs="Tahoma"/>
          <w:i/>
          <w:sz w:val="24"/>
          <w:szCs w:val="24"/>
        </w:rPr>
        <w:t>(2) Deșeurile textile vor fi colectate separat cu o frecvență de colectare de o dată la trei luni, atât în mediul urban cât și în mediul rural, din punctele de colectare și „din poartă în poartă″ și/sau din locurile/spațiile special amenajate și dotate cu containere specifice pentru colectarea acestor deșeuri. Deșeurile textile pot fi colectate și prin aport voluntar la Centrele de colectare, caz în care acestea vor fi preluate gratuit, sau pe bază de comandă, contra-cost, la tariful pentru deșeuri reziduale. De asemenea, unitățile administrativ-teritoriale au posibilitatea de a achiziționa și amplasa pe domeniul public containere speciale pentru această categorie de deșeuri. Colectarea se va realiza pe bază de comandă din partea UAT, contra-cost, la tariful aferent fracției reziduale.</w:t>
      </w:r>
      <w:r>
        <w:rPr>
          <w:rFonts w:ascii="Tahoma" w:eastAsia="Times New Roman" w:hAnsi="Tahoma" w:cs="Tahoma"/>
          <w:i/>
          <w:sz w:val="24"/>
          <w:szCs w:val="24"/>
        </w:rPr>
        <w:t>”</w:t>
      </w:r>
    </w:p>
    <w:p w14:paraId="09511379" w14:textId="77777777" w:rsidR="00794FEC" w:rsidRDefault="00794FEC" w:rsidP="00794FEC">
      <w:pPr>
        <w:spacing w:after="160" w:line="267" w:lineRule="auto"/>
        <w:contextualSpacing/>
        <w:jc w:val="both"/>
        <w:rPr>
          <w:rFonts w:ascii="Tahoma" w:eastAsia="Times New Roman" w:hAnsi="Tahoma" w:cs="Tahoma"/>
          <w:i/>
          <w:sz w:val="24"/>
          <w:szCs w:val="24"/>
        </w:rPr>
      </w:pPr>
    </w:p>
    <w:p w14:paraId="0664C37B"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9. Art. 34</w:t>
      </w:r>
      <w:r w:rsidRPr="00C202A5">
        <w:rPr>
          <w:rFonts w:ascii="Tahoma" w:eastAsia="Times New Roman" w:hAnsi="Tahoma" w:cs="Tahoma"/>
          <w:b/>
          <w:sz w:val="24"/>
          <w:szCs w:val="24"/>
        </w:rPr>
        <w:t xml:space="preserve">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62ABF3D6" w14:textId="77777777" w:rsidR="00794FEC" w:rsidRPr="004D12B6"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4D12B6">
        <w:rPr>
          <w:rFonts w:ascii="Tahoma" w:eastAsia="Times New Roman" w:hAnsi="Tahoma" w:cs="Tahoma"/>
          <w:i/>
          <w:sz w:val="24"/>
          <w:szCs w:val="24"/>
        </w:rPr>
        <w:t>ART. 34 În situația în care, cu ocazia colectării deșeurilor reziduale, respectiv a deșeurilor biodegradabile, din containerele supraterane de 1.100 litri, din zona de blocuri din mediul urban, Operatorul constată că lângă respectivele containere au fost depuse deșeuri nepermise (din construcții și desființări, pietre, deșeuri periculoase, deșeuri voluminoase, etc.), va proceda după cum urmează:</w:t>
      </w:r>
    </w:p>
    <w:p w14:paraId="79B654BF" w14:textId="77777777" w:rsidR="00794FEC" w:rsidRPr="004D12B6" w:rsidRDefault="00794FEC" w:rsidP="00794FEC">
      <w:pPr>
        <w:spacing w:after="160" w:line="267" w:lineRule="auto"/>
        <w:contextualSpacing/>
        <w:jc w:val="both"/>
        <w:rPr>
          <w:rFonts w:ascii="Tahoma" w:eastAsia="Times New Roman" w:hAnsi="Tahoma" w:cs="Tahoma"/>
          <w:i/>
          <w:sz w:val="24"/>
          <w:szCs w:val="24"/>
        </w:rPr>
      </w:pPr>
      <w:r w:rsidRPr="004D12B6">
        <w:rPr>
          <w:rFonts w:ascii="Tahoma" w:eastAsia="Times New Roman" w:hAnsi="Tahoma" w:cs="Tahoma"/>
          <w:i/>
          <w:sz w:val="24"/>
          <w:szCs w:val="24"/>
        </w:rPr>
        <w:t xml:space="preserve">     a) operatorul colectează conținutul containerului; </w:t>
      </w:r>
    </w:p>
    <w:p w14:paraId="62DE14D4" w14:textId="77777777" w:rsidR="00794FEC" w:rsidRPr="004D12B6" w:rsidRDefault="00794FEC" w:rsidP="00794FEC">
      <w:pPr>
        <w:spacing w:after="160" w:line="267" w:lineRule="auto"/>
        <w:contextualSpacing/>
        <w:jc w:val="both"/>
        <w:rPr>
          <w:rFonts w:ascii="Tahoma" w:eastAsia="Times New Roman" w:hAnsi="Tahoma" w:cs="Tahoma"/>
          <w:i/>
          <w:sz w:val="24"/>
          <w:szCs w:val="24"/>
        </w:rPr>
      </w:pPr>
      <w:r w:rsidRPr="004D12B6">
        <w:rPr>
          <w:rFonts w:ascii="Tahoma" w:eastAsia="Times New Roman" w:hAnsi="Tahoma" w:cs="Tahoma"/>
          <w:i/>
          <w:sz w:val="24"/>
          <w:szCs w:val="24"/>
        </w:rPr>
        <w:t xml:space="preserve">     b) în situația deșeurilor nepermise (deșeuri  din construcţii şi desfiinţări, pietre, deșeuri periculoase, voluminoase, verzi) abandonate în proximitatea casetelor dotate cu </w:t>
      </w:r>
      <w:r w:rsidRPr="004D12B6">
        <w:rPr>
          <w:rFonts w:ascii="Tahoma" w:eastAsia="Times New Roman" w:hAnsi="Tahoma" w:cs="Tahoma"/>
          <w:i/>
          <w:sz w:val="24"/>
          <w:szCs w:val="24"/>
        </w:rPr>
        <w:lastRenderedPageBreak/>
        <w:t>containere supraterane sau în proximitatea punctelor de regrupare,  Operatorul va notifica UAT-ul în vederea aplicării regimului deșeurilor abandonate, prevăzut la Art. 25, alin. (8) și (11) și în Procedura privind deșeurile abandonate;</w:t>
      </w:r>
    </w:p>
    <w:p w14:paraId="7CD1E327" w14:textId="77777777" w:rsidR="00794FEC" w:rsidRDefault="00794FEC" w:rsidP="00794FEC">
      <w:pPr>
        <w:spacing w:after="160" w:line="267" w:lineRule="auto"/>
        <w:contextualSpacing/>
        <w:jc w:val="both"/>
        <w:rPr>
          <w:rFonts w:ascii="Tahoma" w:eastAsia="Times New Roman" w:hAnsi="Tahoma" w:cs="Tahoma"/>
          <w:i/>
          <w:sz w:val="24"/>
          <w:szCs w:val="24"/>
        </w:rPr>
      </w:pPr>
      <w:r w:rsidRPr="004D12B6">
        <w:rPr>
          <w:rFonts w:ascii="Tahoma" w:eastAsia="Times New Roman" w:hAnsi="Tahoma" w:cs="Tahoma"/>
          <w:i/>
          <w:sz w:val="24"/>
          <w:szCs w:val="24"/>
        </w:rPr>
        <w:t xml:space="preserve">   c) Deșeurile reziduale, respectiv deșeurile biodegradabile, depuse lângă platformele publice vor fi încărcate în containerul de deșeuri suplimentare de către operatorul de colectare, iar acesta va fi golit, indiferent de gradul de umplere.</w:t>
      </w:r>
      <w:r>
        <w:rPr>
          <w:rFonts w:ascii="Tahoma" w:eastAsia="Times New Roman" w:hAnsi="Tahoma" w:cs="Tahoma"/>
          <w:i/>
          <w:sz w:val="24"/>
          <w:szCs w:val="24"/>
        </w:rPr>
        <w:t>”</w:t>
      </w:r>
    </w:p>
    <w:p w14:paraId="1B043CB7" w14:textId="77777777" w:rsidR="00794FEC" w:rsidRDefault="00794FEC" w:rsidP="00794FEC">
      <w:pPr>
        <w:spacing w:after="160" w:line="267" w:lineRule="auto"/>
        <w:contextualSpacing/>
        <w:jc w:val="both"/>
        <w:rPr>
          <w:rFonts w:ascii="Tahoma" w:eastAsia="Times New Roman" w:hAnsi="Tahoma" w:cs="Tahoma"/>
          <w:i/>
          <w:sz w:val="24"/>
          <w:szCs w:val="24"/>
        </w:rPr>
      </w:pPr>
    </w:p>
    <w:p w14:paraId="0C9A018A"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10. Art. 60</w:t>
      </w:r>
      <w:r w:rsidRPr="00C202A5">
        <w:rPr>
          <w:rFonts w:ascii="Tahoma" w:eastAsia="Times New Roman" w:hAnsi="Tahoma" w:cs="Tahoma"/>
          <w:b/>
          <w:sz w:val="24"/>
          <w:szCs w:val="24"/>
        </w:rPr>
        <w:t xml:space="preserve">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0B39C26F"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690999">
        <w:rPr>
          <w:rFonts w:ascii="Tahoma" w:eastAsia="Times New Roman" w:hAnsi="Tahoma" w:cs="Tahoma"/>
          <w:i/>
          <w:sz w:val="24"/>
          <w:szCs w:val="24"/>
        </w:rPr>
        <w:t>ART. 60. (1) Deşeurile biodegradabile constau în deșeuri din grădini și piețe, deșeuri organice, copaci și tufișuri, iarbă, frunze, așchii de lemn netratate și rumeguș, hârtia care nu poate fi reciclată.</w:t>
      </w:r>
    </w:p>
    <w:p w14:paraId="41E4D1C0"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(2)</w:t>
      </w:r>
      <w:r w:rsidRPr="00690999">
        <w:rPr>
          <w:rFonts w:ascii="Tahoma" w:eastAsia="Times New Roman" w:hAnsi="Tahoma" w:cs="Tahoma"/>
          <w:i/>
          <w:sz w:val="24"/>
          <w:szCs w:val="24"/>
        </w:rPr>
        <w:tab/>
        <w:t>Operatorul de colectare va colecta deșeurile biodegradabile, predominant vegetale, din mediul urban, zonele de blocuri, de pe platformele dotate cu containere specifice de 1100 l, de culoare maro și distinct inscripționate;</w:t>
      </w:r>
    </w:p>
    <w:p w14:paraId="024F79C9"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(3)</w:t>
      </w:r>
      <w:r w:rsidRPr="00690999">
        <w:rPr>
          <w:rFonts w:ascii="Tahoma" w:eastAsia="Times New Roman" w:hAnsi="Tahoma" w:cs="Tahoma"/>
          <w:i/>
          <w:sz w:val="24"/>
          <w:szCs w:val="24"/>
        </w:rPr>
        <w:tab/>
        <w:t>Colectarea deșeurilor biodegradabile se poate realiza și pe bază de comandă, contra-cost, sau prin aport voluntar în Centrele de colectare/Stațiile de transfer, caz în care acestea vor fi preluate gratuit de către operator, sau la solicitarea unităților adminitrativ teritoriale, din containerele proprii amplasate pe domeniul public.</w:t>
      </w:r>
    </w:p>
    <w:p w14:paraId="3DFFCEFD"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 xml:space="preserve">(4) Operatorul va organiza și campanii de colectare gratuite a deșeurilor predominant vegetale, de tipul “săptămâna curăţeniei”, în special primăvara și toamna, respectiv în perioada 28 martie - 27 mai și 26 septembrie - 25 noiembrie, în mediul urban și rural - zona cu case și blocuri de la persoane fizice, inclusiv asociații de locatari/proprietari și de la agenți economici/instituții publice, cu notificarea prealabilă a utilizatorilor asupra datelor exacte de colectare, fiind inclus în tariful de colectare un volum de 240l/campanie/gospodărie . </w:t>
      </w:r>
    </w:p>
    <w:p w14:paraId="19B497E2"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(5) Colectarea deșeurilor biodegradabile, predominant vegetale se va realiza de către operator, cu autocompactoare închise, pentru a evita scurgerile, dotate cu tocător, sau alte tipuri de utilaje.</w:t>
      </w:r>
    </w:p>
    <w:p w14:paraId="403366A9"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(6) Aceste deșeuri vor fi transportate în Stațiile de Transfer, unde staționarea acestora nu trebuie să depăşească 24 de ore.</w:t>
      </w:r>
    </w:p>
    <w:p w14:paraId="0EF625A8"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(7) Se interzice depunerea deșeurilor biodegradabile, predominant vegetale în containerele semiîngropate de 3 mc., în alți recipienți destinați deșeurilor reciclabile, sau lângă platformele de colectare.</w:t>
      </w:r>
    </w:p>
    <w:p w14:paraId="140F63B8"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(8) În cadrul campaniilor de colectare gratuite organizate de operator, acesta are obligația de a pune la dispoziția utilizatorilor, la cerere, recipienți standardizați în vederea colectării deșeurilor biodegradabile, predominant vegetale.</w:t>
      </w:r>
    </w:p>
    <w:p w14:paraId="2D713A79"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 xml:space="preserve">(9) În afara campaniilor de colectare gratuite, deținătorii de iarbă provenită din tunderea gazonului, rumeguș, crengi, dar și alte tipuri de deșeuri biodegradabile, vor asigura compostarea acestora în gospodăriile proprii sau acestea pot fi preluate de către operator, </w:t>
      </w:r>
      <w:r w:rsidRPr="00690999">
        <w:rPr>
          <w:rFonts w:ascii="Tahoma" w:eastAsia="Times New Roman" w:hAnsi="Tahoma" w:cs="Tahoma"/>
          <w:i/>
          <w:sz w:val="24"/>
          <w:szCs w:val="24"/>
        </w:rPr>
        <w:lastRenderedPageBreak/>
        <w:t>pe bază de comandă, la tariful pentru colectarea separată a deșeurilor vegetale. De asemenea, aceste deșeuri pot fi transportate în Stațiile de transfer/ Centrele de colectare de către generatori, caz în care operatorul va prelua gratuit această fracție.</w:t>
      </w:r>
    </w:p>
    <w:p w14:paraId="6BDD095F"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(10) Deșeurile biodegradabile din piețe vor fi colectate separat în recipienți de culoare maro proprii sau puși la dispoziție de Operator contra cost. Obligația informarii asupra modului de colectare a acestor deșeuri revine administratorului pieței.</w:t>
      </w:r>
    </w:p>
    <w:p w14:paraId="19BD846A"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(11) Fracţia biodegradabilă colectată în cadrul campaniilor va fi transportată şi predată separat în vederea compostării acesteia, în cadrul Stației de compostare de la C.M.I.D. Tărpiu, având o capacitate de 12.000 tone/an.</w:t>
      </w:r>
    </w:p>
    <w:p w14:paraId="168D9693"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(12) În situația în care, cantitatea de deșeuri biodegradabile, predominant vegetale, colectată separat de către Operator și transportată la Stația de compostare din cadul CMID Tărpiu, respectiv cantitatea de deșeuri vegetale din campaniile de colectare nu asigură funcționarea la capacitate a Stației de compostare, operatorul de colectare are obligația să colecteze și să transporte separat și o parte din deșeurile reziduale din mediul urban, zona de blocuri, separat față de fluxul de deșeuri biodegradabile colectate din containerele specifice, în vederea extragerii din acestea a fracției biodegradabile de către Operatorul CMID Tărpiu.</w:t>
      </w:r>
    </w:p>
    <w:p w14:paraId="50D6447E"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(13) Este obligatorie colectarea separată și reciclarea la sursă a biodeșeurilor, acolo unde această operațiune este posibilă, în conformitate cu Procedura de compostare, Anexă la prezentul Regulament.</w:t>
      </w:r>
    </w:p>
    <w:p w14:paraId="470E6D5D" w14:textId="77777777" w:rsidR="00794FEC" w:rsidRPr="00690999"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(14) Operatorul va lua măsuri de informare și conștientizare a utilizatorilor, atât privire la introducerea compostării individuale, prin toate mijloacele de comunicare disponibile, cât și cu privire la reducerea generării deșeurilor și beneficiile utilizării compostului, în conformitate cu prevederile PNGD.</w:t>
      </w:r>
    </w:p>
    <w:p w14:paraId="0F866F97" w14:textId="77777777" w:rsidR="00794FEC" w:rsidRDefault="00794FEC" w:rsidP="00794FEC">
      <w:pPr>
        <w:spacing w:after="160" w:line="267" w:lineRule="auto"/>
        <w:contextualSpacing/>
        <w:jc w:val="both"/>
        <w:rPr>
          <w:rFonts w:ascii="Tahoma" w:eastAsia="Times New Roman" w:hAnsi="Tahoma" w:cs="Tahoma"/>
          <w:i/>
          <w:sz w:val="24"/>
          <w:szCs w:val="24"/>
        </w:rPr>
      </w:pPr>
      <w:r w:rsidRPr="00690999">
        <w:rPr>
          <w:rFonts w:ascii="Tahoma" w:eastAsia="Times New Roman" w:hAnsi="Tahoma" w:cs="Tahoma"/>
          <w:i/>
          <w:sz w:val="24"/>
          <w:szCs w:val="24"/>
        </w:rPr>
        <w:t>(15) Suplimentar față de modalitățile implementate, unitățile administrativ-teritoriale au posibilitatea de a achiziționa și amplasa pe domeniul public containere specifice sau distinct inscripționate pentru deșeurile biodegradabile, caz în care, operatorul va colecta acest flux pe bază de comandă, contra- cost.</w:t>
      </w:r>
      <w:r>
        <w:rPr>
          <w:rFonts w:ascii="Tahoma" w:eastAsia="Times New Roman" w:hAnsi="Tahoma" w:cs="Tahoma"/>
          <w:i/>
          <w:sz w:val="24"/>
          <w:szCs w:val="24"/>
        </w:rPr>
        <w:t>”</w:t>
      </w:r>
    </w:p>
    <w:p w14:paraId="3373AF6D" w14:textId="77777777" w:rsidR="00794FEC" w:rsidRDefault="00794FEC" w:rsidP="00794FEC">
      <w:pPr>
        <w:spacing w:after="160" w:line="267" w:lineRule="auto"/>
        <w:contextualSpacing/>
        <w:jc w:val="both"/>
        <w:rPr>
          <w:rFonts w:ascii="Tahoma" w:eastAsia="Times New Roman" w:hAnsi="Tahoma" w:cs="Tahoma"/>
          <w:i/>
          <w:sz w:val="24"/>
          <w:szCs w:val="24"/>
        </w:rPr>
      </w:pPr>
    </w:p>
    <w:p w14:paraId="781DAB95"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11. Art. 64</w:t>
      </w:r>
      <w:r w:rsidRPr="00C202A5">
        <w:rPr>
          <w:rFonts w:ascii="Tahoma" w:eastAsia="Times New Roman" w:hAnsi="Tahoma" w:cs="Tahoma"/>
          <w:b/>
          <w:sz w:val="24"/>
          <w:szCs w:val="24"/>
        </w:rPr>
        <w:t xml:space="preserve">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254C5BCE" w14:textId="77777777" w:rsidR="00794FEC"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3367B2">
        <w:rPr>
          <w:rFonts w:ascii="Tahoma" w:eastAsia="Times New Roman" w:hAnsi="Tahoma" w:cs="Tahoma"/>
          <w:i/>
          <w:sz w:val="24"/>
          <w:szCs w:val="24"/>
        </w:rPr>
        <w:t>ART. 64. În cadrul C.M.I.D., la stația de compostare vor fi acceptate deșeuri de grădini, piețe, deșeuri organice, copaci și tufișuri, iarbă, frunze, așchii de lemn netratate și rumeguș, hârtia care nu poate fi reciclată, fracția biodegradabilă colectată separat de pe platformele din zonele de blocuri din mediul urban, cea colectată din containerele pentru deșeuri biodegradabile amplasatre de autoritățile publice locale pe domeniul public, sau cea extrasă de Operatorul CMID Tărpiu din deșeurile reziduale colectate separat din zona de blocuri, până la asigurarea capacității Stației.</w:t>
      </w:r>
      <w:r>
        <w:rPr>
          <w:rFonts w:ascii="Tahoma" w:eastAsia="Times New Roman" w:hAnsi="Tahoma" w:cs="Tahoma"/>
          <w:i/>
          <w:sz w:val="24"/>
          <w:szCs w:val="24"/>
        </w:rPr>
        <w:t>”</w:t>
      </w:r>
    </w:p>
    <w:p w14:paraId="7D6ABE3B" w14:textId="77777777" w:rsidR="00794FEC" w:rsidRDefault="00794FEC" w:rsidP="00794FEC">
      <w:pPr>
        <w:spacing w:after="160" w:line="267" w:lineRule="auto"/>
        <w:contextualSpacing/>
        <w:jc w:val="both"/>
        <w:rPr>
          <w:rFonts w:ascii="Tahoma" w:eastAsia="Times New Roman" w:hAnsi="Tahoma" w:cs="Tahoma"/>
          <w:i/>
          <w:sz w:val="24"/>
          <w:szCs w:val="24"/>
        </w:rPr>
      </w:pPr>
    </w:p>
    <w:p w14:paraId="0310D9D2"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lastRenderedPageBreak/>
        <w:t>Art. 12. Art. 93</w:t>
      </w:r>
      <w:r w:rsidRPr="00C202A5">
        <w:rPr>
          <w:rFonts w:ascii="Tahoma" w:eastAsia="Times New Roman" w:hAnsi="Tahoma" w:cs="Tahoma"/>
          <w:b/>
          <w:sz w:val="24"/>
          <w:szCs w:val="24"/>
        </w:rPr>
        <w:t xml:space="preserve">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3880EE7C" w14:textId="77777777" w:rsidR="00794FEC"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3175A1">
        <w:rPr>
          <w:rFonts w:ascii="Tahoma" w:eastAsia="Times New Roman" w:hAnsi="Tahoma" w:cs="Tahoma"/>
          <w:i/>
          <w:sz w:val="24"/>
          <w:szCs w:val="24"/>
        </w:rPr>
        <w:t>ART. 93. În cazul gospodăriilor individuale (case) din mediul rural şi urban este recomandată amenajarea de instalaţii proprii de neutralizare prin compostare în amenajări proprii, care nu poluează mediul şi nu produc disconfort, amplasate la cel puţin 10 m de locuinţe, în incinta gospodăriei, în conformitate cu Procedura de compostare, Anexă la prezentul Regulament, având în vedere obligațiile de reciclare și cele privind reducerea generării deșeurilor.</w:t>
      </w:r>
      <w:r>
        <w:rPr>
          <w:rFonts w:ascii="Tahoma" w:eastAsia="Times New Roman" w:hAnsi="Tahoma" w:cs="Tahoma"/>
          <w:i/>
          <w:sz w:val="24"/>
          <w:szCs w:val="24"/>
        </w:rPr>
        <w:t>”</w:t>
      </w:r>
    </w:p>
    <w:p w14:paraId="4549D06F" w14:textId="77777777" w:rsidR="00794FEC" w:rsidRDefault="00794FEC" w:rsidP="00794FEC">
      <w:pPr>
        <w:spacing w:after="160" w:line="267" w:lineRule="auto"/>
        <w:contextualSpacing/>
        <w:jc w:val="both"/>
        <w:rPr>
          <w:rFonts w:ascii="Tahoma" w:eastAsia="Times New Roman" w:hAnsi="Tahoma" w:cs="Tahoma"/>
          <w:i/>
          <w:sz w:val="24"/>
          <w:szCs w:val="24"/>
        </w:rPr>
      </w:pPr>
    </w:p>
    <w:p w14:paraId="3BCE0472"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13. Art. 101</w:t>
      </w:r>
      <w:r w:rsidRPr="00C202A5">
        <w:rPr>
          <w:rFonts w:ascii="Tahoma" w:eastAsia="Times New Roman" w:hAnsi="Tahoma" w:cs="Tahoma"/>
          <w:b/>
          <w:sz w:val="24"/>
          <w:szCs w:val="24"/>
        </w:rPr>
        <w:t xml:space="preserve">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698D663F" w14:textId="77777777" w:rsidR="00794FEC" w:rsidRPr="00CD0A48"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CD0A48">
        <w:rPr>
          <w:rFonts w:ascii="Tahoma" w:eastAsia="Times New Roman" w:hAnsi="Tahoma" w:cs="Tahoma"/>
          <w:i/>
          <w:sz w:val="24"/>
          <w:szCs w:val="24"/>
        </w:rPr>
        <w:t>ART. 101. Pentru a se asigura o operare eficientă și adecvată, se va organiza și superviza cu atenție, următoarele:</w:t>
      </w:r>
    </w:p>
    <w:p w14:paraId="7098811C" w14:textId="77777777" w:rsidR="00794FEC" w:rsidRPr="00CD0A48" w:rsidRDefault="00794FEC" w:rsidP="00794FEC">
      <w:pPr>
        <w:tabs>
          <w:tab w:val="left" w:pos="360"/>
        </w:tabs>
        <w:spacing w:after="160" w:line="267" w:lineRule="auto"/>
        <w:contextualSpacing/>
        <w:jc w:val="both"/>
        <w:rPr>
          <w:rFonts w:ascii="Tahoma" w:eastAsia="Times New Roman" w:hAnsi="Tahoma" w:cs="Tahoma"/>
          <w:i/>
          <w:sz w:val="24"/>
          <w:szCs w:val="24"/>
        </w:rPr>
      </w:pPr>
      <w:r w:rsidRPr="00CD0A48">
        <w:rPr>
          <w:rFonts w:ascii="Tahoma" w:eastAsia="Times New Roman" w:hAnsi="Tahoma" w:cs="Tahoma"/>
          <w:i/>
          <w:sz w:val="24"/>
          <w:szCs w:val="24"/>
        </w:rPr>
        <w:t>-</w:t>
      </w:r>
      <w:r w:rsidRPr="00CD0A48">
        <w:rPr>
          <w:rFonts w:ascii="Tahoma" w:eastAsia="Times New Roman" w:hAnsi="Tahoma" w:cs="Tahoma"/>
          <w:i/>
          <w:sz w:val="24"/>
          <w:szCs w:val="24"/>
        </w:rPr>
        <w:tab/>
        <w:t>controlul accesului la Stațiile de Transfer/Centrele de Colectare, atât a personalului autorizat, cât și a vehiculelor de transport;</w:t>
      </w:r>
    </w:p>
    <w:p w14:paraId="259E038A" w14:textId="77777777" w:rsidR="00794FEC" w:rsidRPr="00CD0A48" w:rsidRDefault="00794FEC" w:rsidP="00794FEC">
      <w:pPr>
        <w:tabs>
          <w:tab w:val="left" w:pos="360"/>
        </w:tabs>
        <w:spacing w:after="160" w:line="267" w:lineRule="auto"/>
        <w:contextualSpacing/>
        <w:jc w:val="both"/>
        <w:rPr>
          <w:rFonts w:ascii="Tahoma" w:eastAsia="Times New Roman" w:hAnsi="Tahoma" w:cs="Tahoma"/>
          <w:i/>
          <w:sz w:val="24"/>
          <w:szCs w:val="24"/>
        </w:rPr>
      </w:pPr>
      <w:r w:rsidRPr="00CD0A48">
        <w:rPr>
          <w:rFonts w:ascii="Tahoma" w:eastAsia="Times New Roman" w:hAnsi="Tahoma" w:cs="Tahoma"/>
          <w:i/>
          <w:sz w:val="24"/>
          <w:szCs w:val="24"/>
        </w:rPr>
        <w:t>-</w:t>
      </w:r>
      <w:r w:rsidRPr="00CD0A48">
        <w:rPr>
          <w:rFonts w:ascii="Tahoma" w:eastAsia="Times New Roman" w:hAnsi="Tahoma" w:cs="Tahoma"/>
          <w:i/>
          <w:sz w:val="24"/>
          <w:szCs w:val="24"/>
        </w:rPr>
        <w:tab/>
        <w:t>monitorizarea  cantităților  și  a  tipurilor  de  deșeuri, pe tipuri de utilizatori,  care  intră/ies  în/din  Stațiile  de Transfer/Centrele de Colectare;</w:t>
      </w:r>
    </w:p>
    <w:p w14:paraId="39FA7C0E" w14:textId="77777777" w:rsidR="00794FEC" w:rsidRPr="00CD0A48" w:rsidRDefault="00794FEC" w:rsidP="00794FEC">
      <w:pPr>
        <w:tabs>
          <w:tab w:val="left" w:pos="360"/>
        </w:tabs>
        <w:spacing w:after="160" w:line="267" w:lineRule="auto"/>
        <w:contextualSpacing/>
        <w:jc w:val="both"/>
        <w:rPr>
          <w:rFonts w:ascii="Tahoma" w:eastAsia="Times New Roman" w:hAnsi="Tahoma" w:cs="Tahoma"/>
          <w:i/>
          <w:sz w:val="24"/>
          <w:szCs w:val="24"/>
        </w:rPr>
      </w:pPr>
      <w:r w:rsidRPr="00CD0A48">
        <w:rPr>
          <w:rFonts w:ascii="Tahoma" w:eastAsia="Times New Roman" w:hAnsi="Tahoma" w:cs="Tahoma"/>
          <w:i/>
          <w:sz w:val="24"/>
          <w:szCs w:val="24"/>
        </w:rPr>
        <w:t>-</w:t>
      </w:r>
      <w:r w:rsidRPr="00CD0A48">
        <w:rPr>
          <w:rFonts w:ascii="Tahoma" w:eastAsia="Times New Roman" w:hAnsi="Tahoma" w:cs="Tahoma"/>
          <w:i/>
          <w:sz w:val="24"/>
          <w:szCs w:val="24"/>
        </w:rPr>
        <w:tab/>
        <w:t>containerele în care sunt descărcate deșeurile sunt numerotate și inscripționate sau etichetate cu numele fracției de deșeuri pentru care sunt destinate, de exemplu: deșeuri reziduale, deșeuri biodegradabile, deșeuri reciclabile (hârtie+carton, plastic+metal, sticlă), tipul de utilizator,etc.;</w:t>
      </w:r>
    </w:p>
    <w:p w14:paraId="59760465" w14:textId="77777777" w:rsidR="00794FEC" w:rsidRPr="00CD0A48" w:rsidRDefault="00794FEC" w:rsidP="00794FEC">
      <w:pPr>
        <w:tabs>
          <w:tab w:val="left" w:pos="360"/>
        </w:tabs>
        <w:spacing w:after="160" w:line="267" w:lineRule="auto"/>
        <w:contextualSpacing/>
        <w:jc w:val="both"/>
        <w:rPr>
          <w:rFonts w:ascii="Tahoma" w:eastAsia="Times New Roman" w:hAnsi="Tahoma" w:cs="Tahoma"/>
          <w:i/>
          <w:sz w:val="24"/>
          <w:szCs w:val="24"/>
        </w:rPr>
      </w:pPr>
      <w:r w:rsidRPr="00CD0A48">
        <w:rPr>
          <w:rFonts w:ascii="Tahoma" w:eastAsia="Times New Roman" w:hAnsi="Tahoma" w:cs="Tahoma"/>
          <w:i/>
          <w:sz w:val="24"/>
          <w:szCs w:val="24"/>
        </w:rPr>
        <w:t>-</w:t>
      </w:r>
      <w:r w:rsidRPr="00CD0A48">
        <w:rPr>
          <w:rFonts w:ascii="Tahoma" w:eastAsia="Times New Roman" w:hAnsi="Tahoma" w:cs="Tahoma"/>
          <w:i/>
          <w:sz w:val="24"/>
          <w:szCs w:val="24"/>
        </w:rPr>
        <w:tab/>
        <w:t>supervizarea și monitorizarea cantităților de deșeuri recepționate la C.M.I.D. Tărpiu;</w:t>
      </w:r>
    </w:p>
    <w:p w14:paraId="1F937255" w14:textId="77777777" w:rsidR="00794FEC" w:rsidRDefault="00794FEC" w:rsidP="00794FEC">
      <w:pPr>
        <w:tabs>
          <w:tab w:val="left" w:pos="360"/>
        </w:tabs>
        <w:spacing w:after="160" w:line="267" w:lineRule="auto"/>
        <w:contextualSpacing/>
        <w:jc w:val="both"/>
        <w:rPr>
          <w:rFonts w:ascii="Tahoma" w:eastAsia="Times New Roman" w:hAnsi="Tahoma" w:cs="Tahoma"/>
          <w:i/>
          <w:sz w:val="24"/>
          <w:szCs w:val="24"/>
        </w:rPr>
      </w:pPr>
      <w:r w:rsidRPr="00CD0A48">
        <w:rPr>
          <w:rFonts w:ascii="Tahoma" w:eastAsia="Times New Roman" w:hAnsi="Tahoma" w:cs="Tahoma"/>
          <w:i/>
          <w:sz w:val="24"/>
          <w:szCs w:val="24"/>
        </w:rPr>
        <w:t>-</w:t>
      </w:r>
      <w:r w:rsidRPr="00CD0A48">
        <w:rPr>
          <w:rFonts w:ascii="Tahoma" w:eastAsia="Times New Roman" w:hAnsi="Tahoma" w:cs="Tahoma"/>
          <w:i/>
          <w:sz w:val="24"/>
          <w:szCs w:val="24"/>
        </w:rPr>
        <w:tab/>
        <w:t>supervizarea și monitorizarea deșeurilor din Stațiile de Transfer/Centrele de Colectare care sunt direcționate către diverse facilități, de exemplu: centre de dezmembrare și recuperare materiale reciclabile, care la rândul lor se valorifică, centre de tratare în vederea neutralizării pentru a putea fi depozitate.</w:t>
      </w:r>
      <w:r>
        <w:rPr>
          <w:rFonts w:ascii="Tahoma" w:eastAsia="Times New Roman" w:hAnsi="Tahoma" w:cs="Tahoma"/>
          <w:i/>
          <w:sz w:val="24"/>
          <w:szCs w:val="24"/>
        </w:rPr>
        <w:t>”</w:t>
      </w:r>
    </w:p>
    <w:p w14:paraId="7695DFF9" w14:textId="77777777" w:rsidR="00794FEC" w:rsidRDefault="00794FEC" w:rsidP="00794FEC">
      <w:pPr>
        <w:tabs>
          <w:tab w:val="left" w:pos="360"/>
        </w:tabs>
        <w:spacing w:after="160" w:line="267" w:lineRule="auto"/>
        <w:contextualSpacing/>
        <w:jc w:val="both"/>
        <w:rPr>
          <w:rFonts w:ascii="Tahoma" w:eastAsia="Times New Roman" w:hAnsi="Tahoma" w:cs="Tahoma"/>
          <w:i/>
          <w:sz w:val="24"/>
          <w:szCs w:val="24"/>
        </w:rPr>
      </w:pPr>
    </w:p>
    <w:p w14:paraId="6EBE3D07"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14. Art. 107, alin. (1) și (2)</w:t>
      </w:r>
      <w:r w:rsidRPr="00C202A5">
        <w:rPr>
          <w:rFonts w:ascii="Tahoma" w:eastAsia="Times New Roman" w:hAnsi="Tahoma" w:cs="Tahoma"/>
          <w:b/>
          <w:sz w:val="24"/>
          <w:szCs w:val="24"/>
        </w:rPr>
        <w:t xml:space="preserve"> 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13383333" w14:textId="77777777" w:rsidR="00794FEC" w:rsidRPr="00CD0A48" w:rsidRDefault="00794FEC" w:rsidP="00794FEC">
      <w:pPr>
        <w:tabs>
          <w:tab w:val="left" w:pos="360"/>
        </w:tabs>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CD0A48">
        <w:rPr>
          <w:rFonts w:ascii="Tahoma" w:eastAsia="Times New Roman" w:hAnsi="Tahoma" w:cs="Tahoma"/>
          <w:i/>
          <w:sz w:val="24"/>
          <w:szCs w:val="24"/>
        </w:rPr>
        <w:t xml:space="preserve">ART. 107. (1) Operatorul are obligația de a realiza campanii de informare, conştientizare şi educare a populației județului, cu privire la Sistemul de management integrat al deșeurilor solide în județul Bistrița-Năsăud, în special cu privire la sistemul de colectare separată a deșeurilor, modul de utilizare a infrastructurii de colectare, frecvența și programul de colectare pentru toate tipurile de deșeuri, contribuția utilizatorilor la reutilizarea și valorificarea deșeurilor reciclabile și al deșeurilor biodegradabile, încurajarea compostării individuale și beneficiile utilizării compostului în gospodării, impactul dăunător asupra mediului al consumului excesiv de ambalaje, inclusiv pungi de transport din plastic subțire, măsuri de prevenire a generării deșeurilor și aruncării necontrolate a acestora, beneficiile financiare ale precolectării separate de către utilizatori a deșeurilor municipale sau penalitățile și sancțiunile aplicabile în situația generării unor </w:t>
      </w:r>
      <w:r w:rsidRPr="00CD0A48">
        <w:rPr>
          <w:rFonts w:ascii="Tahoma" w:eastAsia="Times New Roman" w:hAnsi="Tahoma" w:cs="Tahoma"/>
          <w:i/>
          <w:sz w:val="24"/>
          <w:szCs w:val="24"/>
        </w:rPr>
        <w:lastRenderedPageBreak/>
        <w:t>cantități excesive de deșeuri reziduale amestecate sau în cazurile de nerespectare a normelor legale de precolectare a deșeurilor.</w:t>
      </w:r>
    </w:p>
    <w:p w14:paraId="6E10F687" w14:textId="77777777" w:rsidR="00794FEC" w:rsidRDefault="00794FEC" w:rsidP="00794FEC">
      <w:pPr>
        <w:tabs>
          <w:tab w:val="left" w:pos="360"/>
        </w:tabs>
        <w:spacing w:after="160" w:line="267" w:lineRule="auto"/>
        <w:contextualSpacing/>
        <w:jc w:val="both"/>
        <w:rPr>
          <w:rFonts w:ascii="Tahoma" w:eastAsia="Times New Roman" w:hAnsi="Tahoma" w:cs="Tahoma"/>
          <w:i/>
          <w:sz w:val="24"/>
          <w:szCs w:val="24"/>
        </w:rPr>
      </w:pPr>
      <w:r w:rsidRPr="00CD0A48">
        <w:rPr>
          <w:rFonts w:ascii="Tahoma" w:eastAsia="Times New Roman" w:hAnsi="Tahoma" w:cs="Tahoma"/>
          <w:i/>
          <w:sz w:val="24"/>
          <w:szCs w:val="24"/>
        </w:rPr>
        <w:t xml:space="preserve"> (2) Pe toată perioada de desfășurare a Contractului, Operatorul va investi suma de 172.414 euro/an (echivalent lei/an= 800.000 lei/an) în realizarea unor campanii de informare, conștientizare și educare a populației pentru toată perioada de desfășurare a contractului, din care minim 5.000 euro/ an ( echivalent lei/ an= 23.200 lei/ an) în activități de informare, conștientizare și educare a populației cu privire la campaniile de colectare a deșeurilor voluminoase, deșeurilor din construcții și desființări, deșeurilor verzi, și deșeurilor periculoase din deșeurile menajere, dar și modalitatea de gestionare a deșeurilor biodegradabile și a deșeurilor textile, în conformitate cu angajamentele din Propunerea tehnică din cadrul Licitației.</w:t>
      </w:r>
      <w:r>
        <w:rPr>
          <w:rFonts w:ascii="Tahoma" w:eastAsia="Times New Roman" w:hAnsi="Tahoma" w:cs="Tahoma"/>
          <w:i/>
          <w:sz w:val="24"/>
          <w:szCs w:val="24"/>
        </w:rPr>
        <w:t>”</w:t>
      </w:r>
    </w:p>
    <w:p w14:paraId="1BCE926E" w14:textId="77777777" w:rsidR="00794FEC" w:rsidRPr="004D12B6" w:rsidRDefault="00794FEC" w:rsidP="00794FEC">
      <w:pPr>
        <w:tabs>
          <w:tab w:val="left" w:pos="360"/>
        </w:tabs>
        <w:spacing w:after="160" w:line="267" w:lineRule="auto"/>
        <w:contextualSpacing/>
        <w:jc w:val="both"/>
        <w:rPr>
          <w:rFonts w:ascii="Tahoma" w:eastAsia="Times New Roman" w:hAnsi="Tahoma" w:cs="Tahoma"/>
          <w:i/>
          <w:sz w:val="24"/>
          <w:szCs w:val="24"/>
        </w:rPr>
      </w:pPr>
    </w:p>
    <w:p w14:paraId="5ED44353" w14:textId="77777777" w:rsidR="00794FEC" w:rsidRPr="00C202A5"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 xml:space="preserve">Art. 15. Art. 115 </w:t>
      </w:r>
      <w:r w:rsidRPr="00C202A5">
        <w:rPr>
          <w:rFonts w:ascii="Tahoma" w:eastAsia="Times New Roman" w:hAnsi="Tahoma" w:cs="Tahoma"/>
          <w:b/>
          <w:sz w:val="24"/>
          <w:szCs w:val="24"/>
        </w:rPr>
        <w:t>din Regulamentul de salubrizare se</w:t>
      </w:r>
      <w:r>
        <w:rPr>
          <w:rFonts w:ascii="Tahoma" w:eastAsia="Times New Roman" w:hAnsi="Tahoma" w:cs="Tahoma"/>
          <w:b/>
          <w:sz w:val="24"/>
          <w:szCs w:val="24"/>
        </w:rPr>
        <w:t xml:space="preserve"> modifică, se completează și va</w:t>
      </w:r>
      <w:r w:rsidRPr="00C202A5">
        <w:rPr>
          <w:rFonts w:ascii="Tahoma" w:eastAsia="Times New Roman" w:hAnsi="Tahoma" w:cs="Tahoma"/>
          <w:b/>
          <w:sz w:val="24"/>
          <w:szCs w:val="24"/>
        </w:rPr>
        <w:t xml:space="preserve"> avea următorul conținut:</w:t>
      </w:r>
    </w:p>
    <w:p w14:paraId="1027BE4B"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700A78">
        <w:rPr>
          <w:rFonts w:ascii="Tahoma" w:eastAsia="Times New Roman" w:hAnsi="Tahoma" w:cs="Tahoma"/>
          <w:i/>
          <w:sz w:val="24"/>
          <w:szCs w:val="24"/>
        </w:rPr>
        <w:t>ART. 115. (1) În cazul precolectării separate a deșeurilor majoritar organice, biodegradabile sau în urma unei acțiuni de selectare și separare a deșeurilor organice de alte deșeuri provenite din activitatea menajeră, acestea vor fi procesate în stația de compostare din cadrul CMID, cu capacitate de 12 000 tone/an.</w:t>
      </w:r>
    </w:p>
    <w:p w14:paraId="5FBBEF61"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t>(2)</w:t>
      </w:r>
      <w:r w:rsidRPr="00700A78">
        <w:rPr>
          <w:rFonts w:ascii="Tahoma" w:eastAsia="Times New Roman" w:hAnsi="Tahoma" w:cs="Tahoma"/>
          <w:i/>
          <w:sz w:val="24"/>
          <w:szCs w:val="24"/>
        </w:rPr>
        <w:tab/>
        <w:t xml:space="preserve">Deșeurile specifice, predominant vegetale, care provin din gospodăriile individuale ale populației vor fi compostate individual în gospodăriile proprii, acolo unde situația locativă permite această operațiune, în conformitate cu Procedura de compostare, Anexă la prezentul Regulament. </w:t>
      </w:r>
    </w:p>
    <w:p w14:paraId="47DB358D"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t>(3)</w:t>
      </w:r>
      <w:r w:rsidRPr="00700A78">
        <w:rPr>
          <w:rFonts w:ascii="Tahoma" w:eastAsia="Times New Roman" w:hAnsi="Tahoma" w:cs="Tahoma"/>
          <w:i/>
          <w:sz w:val="24"/>
          <w:szCs w:val="24"/>
        </w:rPr>
        <w:tab/>
        <w:t>În cadrul operațiunii de tratare a cantităților de deșeuri reziduale provenite din zonele de blocuri din mediul urban, în limita a 9.000 tone/an, sau ca diferență dintre capacitatea Stației de compostare și cantitatea de deșeuri biodegradabile colectate separat din zonele de blocuri din mediul urban, în situația în care acestea depășesc 3.000 tone/an, cantitatea aferentă reziduurilor de tratare destinate depozitării este în limita a 52%. Costurile aferente depozitării și contribuției pentru economia circulară, vor fi facturate unităților administrativ-teritoriale, în conformitate cu prevederile legale și ale Procedurii pentru facturare și vor fi evidențiate separat pe facturile emise.</w:t>
      </w:r>
    </w:p>
    <w:p w14:paraId="3FA24FD8"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t>(4)</w:t>
      </w:r>
      <w:r w:rsidRPr="00700A78">
        <w:rPr>
          <w:rFonts w:ascii="Tahoma" w:eastAsia="Times New Roman" w:hAnsi="Tahoma" w:cs="Tahoma"/>
          <w:i/>
          <w:sz w:val="24"/>
          <w:szCs w:val="24"/>
        </w:rPr>
        <w:tab/>
        <w:t>În situația în care compostul rezultat din operațiunea de tratare a deșeurilor reziduale nu îndeplinește parametrii fizico-chimici pentru valorificarea în agricultură, acesta va fi utilizat ca strat vegetal pentru acoperirea deșeurilor pe depozit. Cantitatea aferentă compostului rezultat din operațiunea de tratare a deșeurilor reziduale din zona de blocuri din mediul urban este în limitele a 45%.</w:t>
      </w:r>
    </w:p>
    <w:p w14:paraId="50DDE157"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t>(5)</w:t>
      </w:r>
      <w:r w:rsidRPr="00700A78">
        <w:rPr>
          <w:rFonts w:ascii="Tahoma" w:eastAsia="Times New Roman" w:hAnsi="Tahoma" w:cs="Tahoma"/>
          <w:i/>
          <w:sz w:val="24"/>
          <w:szCs w:val="24"/>
        </w:rPr>
        <w:tab/>
        <w:t>La utilizarea compostului rezultat din deșeurile reziduale ca strat de acoperire, pentru cantitatea reieșită în limitele indicatorilor, costurile aferente contribuției pentru economia circulară vor fi facturate unităților administrativ-teritoriale, în conformitate cu prevederile legale și ale Procedurii pentru facturare și vor fi evidențiate separat pe facturile emise.</w:t>
      </w:r>
    </w:p>
    <w:p w14:paraId="6B1AB892"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lastRenderedPageBreak/>
        <w:t>(6)</w:t>
      </w:r>
      <w:r w:rsidRPr="00700A78">
        <w:rPr>
          <w:rFonts w:ascii="Tahoma" w:eastAsia="Times New Roman" w:hAnsi="Tahoma" w:cs="Tahoma"/>
          <w:i/>
          <w:sz w:val="24"/>
          <w:szCs w:val="24"/>
        </w:rPr>
        <w:tab/>
        <w:t>Pentru cantitățile de reziduuri depozitate sau compost depozitat ca strat de acoperire, care depășesc indicatorii, costurile cu depozitarea și cele aferente contribuției pentru economia circulară, aplicate la diferența procentuală, vor fi suportate de operatorul activității de compostare, fără a putea fi recuperate prin tarif.</w:t>
      </w:r>
    </w:p>
    <w:p w14:paraId="7B279D71"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t>(7)</w:t>
      </w:r>
      <w:r w:rsidRPr="00700A78">
        <w:rPr>
          <w:rFonts w:ascii="Tahoma" w:eastAsia="Times New Roman" w:hAnsi="Tahoma" w:cs="Tahoma"/>
          <w:i/>
          <w:sz w:val="24"/>
          <w:szCs w:val="24"/>
        </w:rPr>
        <w:tab/>
        <w:t xml:space="preserve">Din tratarea aerobă a biodeșerilor colectate separat rezultă compost care poate </w:t>
      </w:r>
      <w:r>
        <w:rPr>
          <w:rFonts w:ascii="Tahoma" w:eastAsia="Times New Roman" w:hAnsi="Tahoma" w:cs="Tahoma"/>
          <w:i/>
          <w:sz w:val="24"/>
          <w:szCs w:val="24"/>
        </w:rPr>
        <w:t>fi introdus pe piață și/sau util</w:t>
      </w:r>
      <w:r w:rsidRPr="00700A78">
        <w:rPr>
          <w:rFonts w:ascii="Tahoma" w:eastAsia="Times New Roman" w:hAnsi="Tahoma" w:cs="Tahoma"/>
          <w:i/>
          <w:sz w:val="24"/>
          <w:szCs w:val="24"/>
        </w:rPr>
        <w:t>izat ca fertilizant în agricultură și la ameliorarea solurilor, în conformitate cu categoriile de folosință prevăzute în Legea nr. 181/2020.</w:t>
      </w:r>
    </w:p>
    <w:p w14:paraId="39CFE12D" w14:textId="77777777" w:rsidR="00794FEC" w:rsidRPr="00700A78"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t>(8)</w:t>
      </w:r>
      <w:r w:rsidRPr="00700A78">
        <w:rPr>
          <w:rFonts w:ascii="Tahoma" w:eastAsia="Times New Roman" w:hAnsi="Tahoma" w:cs="Tahoma"/>
          <w:i/>
          <w:sz w:val="24"/>
          <w:szCs w:val="24"/>
        </w:rPr>
        <w:tab/>
        <w:t>Cantitățile de deșeuri biodegradabile colectate separat din zonele de blocuri din mediul urban, sau din containerele proprii ale APL sunt transportate separat la Stația de compostare, vor fi păstrate și tratate într-un flux separat de cantitățile de deșeuri reziduale care intră în procesul de tratare, pentru a nu fi contaminate și pentru a nu fi afectat potențialul de compostare și implicit, pentru a nu diminua cantitățile de biodeșeuri considerate ca fiind reciclate.</w:t>
      </w:r>
    </w:p>
    <w:p w14:paraId="76FE4F30" w14:textId="77777777" w:rsidR="00794FEC" w:rsidRDefault="00794FEC" w:rsidP="00794FEC">
      <w:pPr>
        <w:spacing w:after="160" w:line="267" w:lineRule="auto"/>
        <w:contextualSpacing/>
        <w:jc w:val="both"/>
        <w:rPr>
          <w:rFonts w:ascii="Tahoma" w:eastAsia="Times New Roman" w:hAnsi="Tahoma" w:cs="Tahoma"/>
          <w:i/>
          <w:sz w:val="24"/>
          <w:szCs w:val="24"/>
        </w:rPr>
      </w:pPr>
      <w:r w:rsidRPr="00700A78">
        <w:rPr>
          <w:rFonts w:ascii="Tahoma" w:eastAsia="Times New Roman" w:hAnsi="Tahoma" w:cs="Tahoma"/>
          <w:i/>
          <w:sz w:val="24"/>
          <w:szCs w:val="24"/>
        </w:rPr>
        <w:t>(9)</w:t>
      </w:r>
      <w:r w:rsidRPr="00700A78">
        <w:rPr>
          <w:rFonts w:ascii="Tahoma" w:eastAsia="Times New Roman" w:hAnsi="Tahoma" w:cs="Tahoma"/>
          <w:i/>
          <w:sz w:val="24"/>
          <w:szCs w:val="24"/>
        </w:rPr>
        <w:tab/>
        <w:t>Având în vedere compoziția deșeurilor biodegradabile provenite din colectarea separată, acestea vor fi supuse procesului de compostare în conformitate cu Procedurile contractuale și legale, în vederea creșterii cantităților de deșeuri reciclate.</w:t>
      </w:r>
      <w:r>
        <w:rPr>
          <w:rFonts w:ascii="Tahoma" w:eastAsia="Times New Roman" w:hAnsi="Tahoma" w:cs="Tahoma"/>
          <w:i/>
          <w:sz w:val="24"/>
          <w:szCs w:val="24"/>
        </w:rPr>
        <w:t>”</w:t>
      </w:r>
    </w:p>
    <w:p w14:paraId="1530EE75" w14:textId="77777777" w:rsidR="00794FEC" w:rsidRDefault="00794FEC" w:rsidP="00794FEC">
      <w:pPr>
        <w:spacing w:after="160" w:line="267" w:lineRule="auto"/>
        <w:contextualSpacing/>
        <w:jc w:val="both"/>
        <w:rPr>
          <w:rFonts w:ascii="Tahoma" w:eastAsia="Times New Roman" w:hAnsi="Tahoma" w:cs="Tahoma"/>
          <w:i/>
          <w:sz w:val="24"/>
          <w:szCs w:val="24"/>
        </w:rPr>
      </w:pPr>
    </w:p>
    <w:p w14:paraId="1138C876" w14:textId="77777777" w:rsidR="00794FEC" w:rsidRDefault="00794FEC" w:rsidP="00794FEC">
      <w:pPr>
        <w:spacing w:after="160" w:line="267" w:lineRule="auto"/>
        <w:contextualSpacing/>
        <w:jc w:val="both"/>
        <w:rPr>
          <w:rFonts w:ascii="Tahoma" w:eastAsia="Times New Roman" w:hAnsi="Tahoma" w:cs="Tahoma"/>
          <w:sz w:val="24"/>
          <w:szCs w:val="24"/>
        </w:rPr>
      </w:pPr>
      <w:r>
        <w:rPr>
          <w:rFonts w:ascii="Tahoma" w:eastAsia="Times New Roman" w:hAnsi="Tahoma" w:cs="Tahoma"/>
          <w:b/>
          <w:sz w:val="24"/>
          <w:szCs w:val="24"/>
        </w:rPr>
        <w:t>Art. 16. În Anexa nr. 6 a</w:t>
      </w:r>
      <w:r w:rsidRPr="00C202A5">
        <w:rPr>
          <w:rFonts w:ascii="Tahoma" w:eastAsia="Times New Roman" w:hAnsi="Tahoma" w:cs="Tahoma"/>
          <w:b/>
          <w:sz w:val="24"/>
          <w:szCs w:val="24"/>
        </w:rPr>
        <w:t xml:space="preserve"> Regulamentul</w:t>
      </w:r>
      <w:r>
        <w:rPr>
          <w:rFonts w:ascii="Tahoma" w:eastAsia="Times New Roman" w:hAnsi="Tahoma" w:cs="Tahoma"/>
          <w:b/>
          <w:sz w:val="24"/>
          <w:szCs w:val="24"/>
        </w:rPr>
        <w:t>ui</w:t>
      </w:r>
      <w:r w:rsidRPr="00C202A5">
        <w:rPr>
          <w:rFonts w:ascii="Tahoma" w:eastAsia="Times New Roman" w:hAnsi="Tahoma" w:cs="Tahoma"/>
          <w:b/>
          <w:sz w:val="24"/>
          <w:szCs w:val="24"/>
        </w:rPr>
        <w:t xml:space="preserve"> de salubrizare</w:t>
      </w:r>
      <w:r>
        <w:rPr>
          <w:rFonts w:ascii="Tahoma" w:eastAsia="Times New Roman" w:hAnsi="Tahoma" w:cs="Tahoma"/>
          <w:b/>
          <w:sz w:val="24"/>
          <w:szCs w:val="24"/>
        </w:rPr>
        <w:t>- Procedura pentru facturare,</w:t>
      </w:r>
      <w:r w:rsidRPr="00C202A5">
        <w:rPr>
          <w:rFonts w:ascii="Tahoma" w:eastAsia="Times New Roman" w:hAnsi="Tahoma" w:cs="Tahoma"/>
          <w:b/>
          <w:sz w:val="24"/>
          <w:szCs w:val="24"/>
        </w:rPr>
        <w:t xml:space="preserve"> </w:t>
      </w:r>
      <w:r w:rsidRPr="007D7195">
        <w:rPr>
          <w:rFonts w:ascii="Tahoma" w:eastAsia="Times New Roman" w:hAnsi="Tahoma" w:cs="Tahoma"/>
          <w:sz w:val="24"/>
          <w:szCs w:val="24"/>
        </w:rPr>
        <w:t>se completează cu lit. c) și se renumerotează în vederea introducerii modalității de facturare a deșeurilor biodegradabile</w:t>
      </w:r>
      <w:r>
        <w:rPr>
          <w:rFonts w:ascii="Tahoma" w:eastAsia="Times New Roman" w:hAnsi="Tahoma" w:cs="Tahoma"/>
          <w:b/>
          <w:sz w:val="24"/>
          <w:szCs w:val="24"/>
        </w:rPr>
        <w:t xml:space="preserve"> Modul de facturare al SC Supercom SA </w:t>
      </w:r>
      <w:r>
        <w:rPr>
          <w:rFonts w:ascii="Tahoma" w:eastAsia="Times New Roman" w:hAnsi="Tahoma" w:cs="Tahoma"/>
          <w:sz w:val="24"/>
          <w:szCs w:val="24"/>
        </w:rPr>
        <w:t>care</w:t>
      </w:r>
      <w:r w:rsidRPr="007D7195">
        <w:rPr>
          <w:rFonts w:ascii="Tahoma" w:eastAsia="Times New Roman" w:hAnsi="Tahoma" w:cs="Tahoma"/>
          <w:sz w:val="24"/>
          <w:szCs w:val="24"/>
        </w:rPr>
        <w:t xml:space="preserve"> va avea următorul conținut:</w:t>
      </w:r>
    </w:p>
    <w:p w14:paraId="4A6F150F"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w:t>
      </w:r>
      <w:r w:rsidRPr="007D7195">
        <w:rPr>
          <w:rFonts w:ascii="Tahoma" w:eastAsia="Times New Roman" w:hAnsi="Tahoma" w:cs="Tahoma"/>
          <w:i/>
          <w:sz w:val="24"/>
          <w:szCs w:val="24"/>
        </w:rPr>
        <w:t>a)</w:t>
      </w:r>
      <w:r w:rsidRPr="007D7195">
        <w:rPr>
          <w:rFonts w:ascii="Tahoma" w:eastAsia="Times New Roman" w:hAnsi="Tahoma" w:cs="Tahoma"/>
          <w:i/>
          <w:sz w:val="24"/>
          <w:szCs w:val="24"/>
        </w:rPr>
        <w:tab/>
        <w:t xml:space="preserve">Facturarea pentru deșeurile reziduale/mediul urban si rural –zona de case: </w:t>
      </w:r>
    </w:p>
    <w:p w14:paraId="2287B126"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 - (Trez urban x Qc) +TVA; </w:t>
      </w:r>
    </w:p>
    <w:p w14:paraId="4AA3CA55"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0895FC51"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b)</w:t>
      </w:r>
      <w:r w:rsidRPr="007D7195">
        <w:rPr>
          <w:rFonts w:ascii="Tahoma" w:eastAsia="Times New Roman" w:hAnsi="Tahoma" w:cs="Tahoma"/>
          <w:i/>
          <w:sz w:val="24"/>
          <w:szCs w:val="24"/>
        </w:rPr>
        <w:tab/>
        <w:t>Facturarea pentru deșeurile reziduale/mediul urban -zona de blocuri:</w:t>
      </w:r>
    </w:p>
    <w:p w14:paraId="7CFD764E"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 - (Trez urban x Qc) +TVA;</w:t>
      </w:r>
    </w:p>
    <w:p w14:paraId="22B08819"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 </w:t>
      </w:r>
    </w:p>
    <w:p w14:paraId="6961E100"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c) Facturarea pentru deșeurile biodegradabile (predominant vegetale)/ mediul urban- zona de blocuri</w:t>
      </w:r>
    </w:p>
    <w:p w14:paraId="6B01A67F"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395D4CC0"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(T bio x Qc) +TVA</w:t>
      </w:r>
    </w:p>
    <w:p w14:paraId="4B5629E8"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4392800C"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6647333C"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d)</w:t>
      </w:r>
      <w:r w:rsidRPr="007D7195">
        <w:rPr>
          <w:rFonts w:ascii="Tahoma" w:eastAsia="Times New Roman" w:hAnsi="Tahoma" w:cs="Tahoma"/>
          <w:i/>
          <w:sz w:val="24"/>
          <w:szCs w:val="24"/>
        </w:rPr>
        <w:tab/>
        <w:t>Facturarea pentru deșeurile reciclabile/mediul urban:</w:t>
      </w:r>
    </w:p>
    <w:p w14:paraId="54856DB2"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1DCE2AE5"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I.</w:t>
      </w:r>
      <w:r w:rsidRPr="007D7195">
        <w:rPr>
          <w:rFonts w:ascii="Tahoma" w:eastAsia="Times New Roman" w:hAnsi="Tahoma" w:cs="Tahoma"/>
          <w:i/>
          <w:sz w:val="24"/>
          <w:szCs w:val="24"/>
        </w:rPr>
        <w:tab/>
        <w:t xml:space="preserve">dacă deșeurile reciclabile au un grad de contaminare mai mic de 25% și sunt acceptate direct în Stația </w:t>
      </w:r>
      <w:r>
        <w:rPr>
          <w:rFonts w:ascii="Tahoma" w:eastAsia="Times New Roman" w:hAnsi="Tahoma" w:cs="Tahoma"/>
          <w:i/>
          <w:sz w:val="24"/>
          <w:szCs w:val="24"/>
        </w:rPr>
        <w:t>de Sortare (banda de sortare) :</w:t>
      </w:r>
    </w:p>
    <w:p w14:paraId="095055E2"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(T rec urban x Qc) + TVA</w:t>
      </w:r>
    </w:p>
    <w:p w14:paraId="69FB658A"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II.</w:t>
      </w:r>
      <w:r w:rsidRPr="007D7195">
        <w:rPr>
          <w:rFonts w:ascii="Tahoma" w:eastAsia="Times New Roman" w:hAnsi="Tahoma" w:cs="Tahoma"/>
          <w:i/>
          <w:sz w:val="24"/>
          <w:szCs w:val="24"/>
        </w:rPr>
        <w:tab/>
        <w:t>dacă deșeurile reciclabile au un grad de pu</w:t>
      </w:r>
      <w:r>
        <w:rPr>
          <w:rFonts w:ascii="Tahoma" w:eastAsia="Times New Roman" w:hAnsi="Tahoma" w:cs="Tahoma"/>
          <w:i/>
          <w:sz w:val="24"/>
          <w:szCs w:val="24"/>
        </w:rPr>
        <w:t>ritate cuprins între 30% și 75%</w:t>
      </w:r>
    </w:p>
    <w:p w14:paraId="6C733FF0"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{(T rec urban x Qv) + [ </w:t>
      </w:r>
      <w:r>
        <w:rPr>
          <w:rFonts w:ascii="Tahoma" w:eastAsia="Times New Roman" w:hAnsi="Tahoma" w:cs="Tahoma"/>
          <w:i/>
          <w:sz w:val="24"/>
          <w:szCs w:val="24"/>
        </w:rPr>
        <w:t>T rez urban x (Qc – Qv)]} + TVA</w:t>
      </w:r>
    </w:p>
    <w:p w14:paraId="1C68CE1B"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lastRenderedPageBreak/>
        <w:t>III.</w:t>
      </w:r>
      <w:r w:rsidRPr="007D7195">
        <w:rPr>
          <w:rFonts w:ascii="Tahoma" w:eastAsia="Times New Roman" w:hAnsi="Tahoma" w:cs="Tahoma"/>
          <w:i/>
          <w:sz w:val="24"/>
          <w:szCs w:val="24"/>
        </w:rPr>
        <w:tab/>
        <w:t>dacă deșeurile reciclabile</w:t>
      </w:r>
      <w:r>
        <w:rPr>
          <w:rFonts w:ascii="Tahoma" w:eastAsia="Times New Roman" w:hAnsi="Tahoma" w:cs="Tahoma"/>
          <w:i/>
          <w:sz w:val="24"/>
          <w:szCs w:val="24"/>
        </w:rPr>
        <w:t xml:space="preserve"> au un grad de puritate sub 30%</w:t>
      </w:r>
    </w:p>
    <w:p w14:paraId="7BB79548"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(Trez urban x Qc) + TVA</w:t>
      </w:r>
    </w:p>
    <w:p w14:paraId="4CE6E331"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ab/>
      </w:r>
    </w:p>
    <w:p w14:paraId="50A6A857"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e) Facturarea pentru deșe</w:t>
      </w:r>
      <w:r>
        <w:rPr>
          <w:rFonts w:ascii="Tahoma" w:eastAsia="Times New Roman" w:hAnsi="Tahoma" w:cs="Tahoma"/>
          <w:i/>
          <w:sz w:val="24"/>
          <w:szCs w:val="24"/>
        </w:rPr>
        <w:t>urile reciclabile/mediul rural:</w:t>
      </w:r>
    </w:p>
    <w:p w14:paraId="2494EDC5"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I. dacă deșeurile reciclabile au un grad de contaminare mai mic de 25% și sunt acceptate direct în Stația de Sortare (banda de sortare) :</w:t>
      </w:r>
    </w:p>
    <w:p w14:paraId="00726215"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(T rec rural x Qc) + TVA</w:t>
      </w:r>
    </w:p>
    <w:p w14:paraId="3F2965FE"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II. dacă deșeurile reciclabile au un grad de pu</w:t>
      </w:r>
      <w:r>
        <w:rPr>
          <w:rFonts w:ascii="Tahoma" w:eastAsia="Times New Roman" w:hAnsi="Tahoma" w:cs="Tahoma"/>
          <w:i/>
          <w:sz w:val="24"/>
          <w:szCs w:val="24"/>
        </w:rPr>
        <w:t>ritate cuprins între 30% și 75%</w:t>
      </w:r>
    </w:p>
    <w:p w14:paraId="323A9B1D"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{(T rec rural x Qv) + [</w:t>
      </w:r>
      <w:r>
        <w:rPr>
          <w:rFonts w:ascii="Tahoma" w:eastAsia="Times New Roman" w:hAnsi="Tahoma" w:cs="Tahoma"/>
          <w:i/>
          <w:sz w:val="24"/>
          <w:szCs w:val="24"/>
        </w:rPr>
        <w:t xml:space="preserve"> T rez rural x (Qc – Qv)]}+ TVA</w:t>
      </w:r>
    </w:p>
    <w:p w14:paraId="0D5D84AD"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III.</w:t>
      </w:r>
      <w:r w:rsidRPr="007D7195">
        <w:rPr>
          <w:rFonts w:ascii="Tahoma" w:eastAsia="Times New Roman" w:hAnsi="Tahoma" w:cs="Tahoma"/>
          <w:i/>
          <w:sz w:val="24"/>
          <w:szCs w:val="24"/>
        </w:rPr>
        <w:tab/>
        <w:t>dacă deșeurile reciclabile</w:t>
      </w:r>
      <w:r>
        <w:rPr>
          <w:rFonts w:ascii="Tahoma" w:eastAsia="Times New Roman" w:hAnsi="Tahoma" w:cs="Tahoma"/>
          <w:i/>
          <w:sz w:val="24"/>
          <w:szCs w:val="24"/>
        </w:rPr>
        <w:t xml:space="preserve"> au un grad de puritate sub 30%</w:t>
      </w:r>
    </w:p>
    <w:p w14:paraId="57B78BDB"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(Trez rural x Qc) + TVA</w:t>
      </w:r>
    </w:p>
    <w:p w14:paraId="377D3470"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59518B65"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f)      Facturarea pentru deșeuri </w:t>
      </w:r>
      <w:r>
        <w:rPr>
          <w:rFonts w:ascii="Tahoma" w:eastAsia="Times New Roman" w:hAnsi="Tahoma" w:cs="Tahoma"/>
          <w:i/>
          <w:sz w:val="24"/>
          <w:szCs w:val="24"/>
        </w:rPr>
        <w:t>din construcții și desființări:</w:t>
      </w:r>
    </w:p>
    <w:p w14:paraId="285D924F"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(T DCD x Qc) </w:t>
      </w:r>
      <w:r>
        <w:rPr>
          <w:rFonts w:ascii="Tahoma" w:eastAsia="Times New Roman" w:hAnsi="Tahoma" w:cs="Tahoma"/>
          <w:i/>
          <w:sz w:val="24"/>
          <w:szCs w:val="24"/>
        </w:rPr>
        <w:t>+ (Tdep x Qc)+ (CEC x Qc) + TVA</w:t>
      </w:r>
    </w:p>
    <w:p w14:paraId="28C2BAC4"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Facturarea se realizează de către operatorul de colectare pentru utilizatorii persoane fizice/agenți economici/instituții publice, care solicită individual această prestație, pe bază de contract-comandă. Operatorul de colectare va refactura în baza comenzii și prestația operatorului de tratare și valoarea contribuției pentru economia circulară, utilizatorilor care solicită această prestație.</w:t>
      </w:r>
    </w:p>
    <w:p w14:paraId="5183B16A"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443A22E6"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g) Facturarea pentru deșeuri vol</w:t>
      </w:r>
      <w:r>
        <w:rPr>
          <w:rFonts w:ascii="Tahoma" w:eastAsia="Times New Roman" w:hAnsi="Tahoma" w:cs="Tahoma"/>
          <w:i/>
          <w:sz w:val="24"/>
          <w:szCs w:val="24"/>
        </w:rPr>
        <w:t>uminoase, în afara campaniilor:</w:t>
      </w:r>
    </w:p>
    <w:p w14:paraId="0559A0E8"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 (Tvol xQc)</w:t>
      </w:r>
      <w:r>
        <w:rPr>
          <w:rFonts w:ascii="Tahoma" w:eastAsia="Times New Roman" w:hAnsi="Tahoma" w:cs="Tahoma"/>
          <w:i/>
          <w:sz w:val="24"/>
          <w:szCs w:val="24"/>
        </w:rPr>
        <w:t xml:space="preserve"> +(Tdep xQc) + (CEC x Qc) + TVA</w:t>
      </w:r>
    </w:p>
    <w:p w14:paraId="5A7EA578"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Facturarea se realizează de către operatorul de colectare pentru utilizatorii persoane fizice/agenți economici/instituții publice, care solicită individual această prestație, pe bază de contract-comandă. Operatorul de colectare va refactura în baza comenzii și prestația operatorului de tratare și valoarea contribuției pentru economia circulară, utilizatorilor care solicită această prestație.</w:t>
      </w:r>
    </w:p>
    <w:p w14:paraId="479EC77B"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În cadrul campaniilor, colectarea deșeurilor voluminoase nu se facturează. Prestația va fi facturată UAT-urilor de pe raza cărora provin deșeurile voluminoase, doar de către operatorul de tratare, la tariful de depozitare. Acesta va evidenția separat pe facturile emise și costurile aferente contribuției pentru economia circulară.</w:t>
      </w:r>
    </w:p>
    <w:p w14:paraId="3157A030"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09A91780"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h) Fa</w:t>
      </w:r>
      <w:r>
        <w:rPr>
          <w:rFonts w:ascii="Tahoma" w:eastAsia="Times New Roman" w:hAnsi="Tahoma" w:cs="Tahoma"/>
          <w:i/>
          <w:sz w:val="24"/>
          <w:szCs w:val="24"/>
        </w:rPr>
        <w:t>cturarea deșeurilor abandonate:</w:t>
      </w:r>
    </w:p>
    <w:p w14:paraId="36F7369C"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Pr>
          <w:rFonts w:ascii="Tahoma" w:eastAsia="Times New Roman" w:hAnsi="Tahoma" w:cs="Tahoma"/>
          <w:i/>
          <w:sz w:val="24"/>
          <w:szCs w:val="24"/>
        </w:rPr>
        <w:t>(Taband x Qc) + TVA</w:t>
      </w:r>
    </w:p>
    <w:p w14:paraId="44F6BF7C" w14:textId="77777777" w:rsidR="00794FEC"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deșeurile abandonate se colectează în două fluxuri separate, și se facturează la tarifele a</w:t>
      </w:r>
      <w:r>
        <w:rPr>
          <w:rFonts w:ascii="Tahoma" w:eastAsia="Times New Roman" w:hAnsi="Tahoma" w:cs="Tahoma"/>
          <w:i/>
          <w:sz w:val="24"/>
          <w:szCs w:val="24"/>
        </w:rPr>
        <w:t>probate aferente fiecărui flux.</w:t>
      </w:r>
    </w:p>
    <w:p w14:paraId="491CD675"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725C1B3F"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xml:space="preserve">i) Facturarea deșeurilor biodegradabile, predominant </w:t>
      </w:r>
      <w:r>
        <w:rPr>
          <w:rFonts w:ascii="Tahoma" w:eastAsia="Times New Roman" w:hAnsi="Tahoma" w:cs="Tahoma"/>
          <w:i/>
          <w:sz w:val="24"/>
          <w:szCs w:val="24"/>
        </w:rPr>
        <w:t>vegetale, în afara campaniilor:</w:t>
      </w:r>
    </w:p>
    <w:p w14:paraId="528E2A6F"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(Tbio xQc) +(Tcompost</w:t>
      </w:r>
      <w:r>
        <w:rPr>
          <w:rFonts w:ascii="Tahoma" w:eastAsia="Times New Roman" w:hAnsi="Tahoma" w:cs="Tahoma"/>
          <w:i/>
          <w:sz w:val="24"/>
          <w:szCs w:val="24"/>
        </w:rPr>
        <w:t xml:space="preserve"> xQc) + TVA</w:t>
      </w:r>
    </w:p>
    <w:p w14:paraId="32FEC98E"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lastRenderedPageBreak/>
        <w:t>*) Facturarea se realizează de către operatorul de colectare pentru utilizatorii persoane fizice/agenți economici/instituții publice, care solicită individual această prestație, pe bază de contract-comandă. Operatorul de colectare va refactura în baza comenzii și prestația operatorului de tratare, utilizatorilor care solicită această prestație.</w:t>
      </w:r>
    </w:p>
    <w:p w14:paraId="73870F45"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 În cadrul campaniilor, colectarea deșeurilor biodegradabile, predominant vegetale nu se facturează. Prestația va fi facturată UAT-urilor de pe raza cărora provin deșeurile vegetale, doar de către operatorul de tratare, la tariful de compostare. În cazul deșeurilor vegetale provenite din colectarea separată, nu se facturează și costurile aferente contribuției pentru economia circulară, compostul rezultat fiind conform pentru valorificarea în agricultură.</w:t>
      </w:r>
    </w:p>
    <w:p w14:paraId="1F61BD3C" w14:textId="77777777" w:rsidR="00794FEC" w:rsidRPr="007D7195" w:rsidRDefault="00794FEC" w:rsidP="00794FEC">
      <w:pPr>
        <w:spacing w:after="160" w:line="267" w:lineRule="auto"/>
        <w:contextualSpacing/>
        <w:jc w:val="both"/>
        <w:rPr>
          <w:rFonts w:ascii="Tahoma" w:eastAsia="Times New Roman" w:hAnsi="Tahoma" w:cs="Tahoma"/>
          <w:i/>
          <w:sz w:val="24"/>
          <w:szCs w:val="24"/>
        </w:rPr>
      </w:pPr>
    </w:p>
    <w:p w14:paraId="03A56152"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NOTĂ: (1) Pen</w:t>
      </w:r>
      <w:r>
        <w:rPr>
          <w:rFonts w:ascii="Tahoma" w:eastAsia="Times New Roman" w:hAnsi="Tahoma" w:cs="Tahoma"/>
          <w:i/>
          <w:sz w:val="24"/>
          <w:szCs w:val="24"/>
        </w:rPr>
        <w:t>tru cazurile prevăzute la lit. f), g) și i</w:t>
      </w:r>
      <w:r w:rsidRPr="007D7195">
        <w:rPr>
          <w:rFonts w:ascii="Tahoma" w:eastAsia="Times New Roman" w:hAnsi="Tahoma" w:cs="Tahoma"/>
          <w:i/>
          <w:sz w:val="24"/>
          <w:szCs w:val="24"/>
        </w:rPr>
        <w:t>), Operatorul de colectare are obligația de a declara cantitățile colectate de la utilizatori pe bază de comandă în vederea facturării prestației de către Operatorul CMID Tărpiu către Operatorul de colectare.</w:t>
      </w:r>
    </w:p>
    <w:p w14:paraId="7A9334F1"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(2) Pentru tipurile de deșeuri colectate în cadrul campaniilor, Operatorul de colectare va transmite Operatorului CMID Tărpiu, cantitățile colectate cu precizarea clară a UAT-urilor de proveniență, în vederea facturării depozitării/ tratării către UAT-uri.</w:t>
      </w:r>
    </w:p>
    <w:p w14:paraId="7C62FD8E" w14:textId="77777777" w:rsidR="00794FEC" w:rsidRPr="007D7195"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(3) Pentru deșeurile abandonate, Operatorul de colectare va aplica, la facturarea către UAT-uri, tariful aprobat de către ADI Deșeuri Bistrița-Năsăud, în funcție de tipul de deșeuri abandonate colectate. Acesta va transmite Operatorului CMID Tărpiu o copie a procesului-verbal încheiat cu UAT-ul de pe raza căruia au fost colectate deșeurile abandonate, în vederea facturării prestației, respectiv activitatea de eliminare prin depozitare a acestor deșeuri și valoarea contribuției pentru economia circulară aferentă acestor cantități.</w:t>
      </w:r>
    </w:p>
    <w:p w14:paraId="7CA62219" w14:textId="77777777" w:rsidR="00794FEC" w:rsidRDefault="00794FEC" w:rsidP="00794FEC">
      <w:pPr>
        <w:spacing w:after="160" w:line="267" w:lineRule="auto"/>
        <w:contextualSpacing/>
        <w:jc w:val="both"/>
        <w:rPr>
          <w:rFonts w:ascii="Tahoma" w:eastAsia="Times New Roman" w:hAnsi="Tahoma" w:cs="Tahoma"/>
          <w:i/>
          <w:sz w:val="24"/>
          <w:szCs w:val="24"/>
        </w:rPr>
      </w:pPr>
      <w:r w:rsidRPr="007D7195">
        <w:rPr>
          <w:rFonts w:ascii="Tahoma" w:eastAsia="Times New Roman" w:hAnsi="Tahoma" w:cs="Tahoma"/>
          <w:i/>
          <w:sz w:val="24"/>
          <w:szCs w:val="24"/>
        </w:rPr>
        <w:t>(4) Pentru situațiile în care, deșeurile textile sau periculoase sunt colectate pe bază de comandă, se aplică tariful de colectare pentru deșeurile reziduale, în conformitate cu prevederile art. 6, alin. (2) din Ordinul Președintelui ANRSC nr. 640/2022, cu modificările și completările ulterioare.</w:t>
      </w:r>
    </w:p>
    <w:p w14:paraId="0C77207B" w14:textId="77777777" w:rsidR="00794FEC" w:rsidRDefault="00794FEC" w:rsidP="00794FEC">
      <w:pPr>
        <w:spacing w:after="160" w:line="267" w:lineRule="auto"/>
        <w:contextualSpacing/>
        <w:jc w:val="both"/>
        <w:rPr>
          <w:rFonts w:ascii="Tahoma" w:eastAsia="Times New Roman" w:hAnsi="Tahoma" w:cs="Tahoma"/>
          <w:b/>
          <w:i/>
          <w:sz w:val="24"/>
          <w:szCs w:val="24"/>
        </w:rPr>
      </w:pPr>
    </w:p>
    <w:p w14:paraId="5125CADA" w14:textId="77777777" w:rsidR="00794FEC" w:rsidRDefault="00794FEC" w:rsidP="00794FEC">
      <w:pPr>
        <w:spacing w:after="160" w:line="267" w:lineRule="auto"/>
        <w:contextualSpacing/>
        <w:jc w:val="both"/>
        <w:rPr>
          <w:rFonts w:ascii="Tahoma" w:eastAsia="Times New Roman" w:hAnsi="Tahoma" w:cs="Tahoma"/>
          <w:sz w:val="24"/>
          <w:szCs w:val="24"/>
        </w:rPr>
      </w:pPr>
      <w:r>
        <w:rPr>
          <w:rFonts w:ascii="Tahoma" w:eastAsia="Times New Roman" w:hAnsi="Tahoma" w:cs="Tahoma"/>
          <w:b/>
          <w:sz w:val="24"/>
          <w:szCs w:val="24"/>
        </w:rPr>
        <w:t>Art. 17. În Anexa nr. 6 a</w:t>
      </w:r>
      <w:r w:rsidRPr="00C202A5">
        <w:rPr>
          <w:rFonts w:ascii="Tahoma" w:eastAsia="Times New Roman" w:hAnsi="Tahoma" w:cs="Tahoma"/>
          <w:b/>
          <w:sz w:val="24"/>
          <w:szCs w:val="24"/>
        </w:rPr>
        <w:t xml:space="preserve"> Regulamentul</w:t>
      </w:r>
      <w:r>
        <w:rPr>
          <w:rFonts w:ascii="Tahoma" w:eastAsia="Times New Roman" w:hAnsi="Tahoma" w:cs="Tahoma"/>
          <w:b/>
          <w:sz w:val="24"/>
          <w:szCs w:val="24"/>
        </w:rPr>
        <w:t>ui</w:t>
      </w:r>
      <w:r w:rsidRPr="00C202A5">
        <w:rPr>
          <w:rFonts w:ascii="Tahoma" w:eastAsia="Times New Roman" w:hAnsi="Tahoma" w:cs="Tahoma"/>
          <w:b/>
          <w:sz w:val="24"/>
          <w:szCs w:val="24"/>
        </w:rPr>
        <w:t xml:space="preserve"> de salubrizare</w:t>
      </w:r>
      <w:r>
        <w:rPr>
          <w:rFonts w:ascii="Tahoma" w:eastAsia="Times New Roman" w:hAnsi="Tahoma" w:cs="Tahoma"/>
          <w:b/>
          <w:sz w:val="24"/>
          <w:szCs w:val="24"/>
        </w:rPr>
        <w:t>- Procedura pentru facturare,</w:t>
      </w:r>
      <w:r w:rsidRPr="00C202A5">
        <w:rPr>
          <w:rFonts w:ascii="Tahoma" w:eastAsia="Times New Roman" w:hAnsi="Tahoma" w:cs="Tahoma"/>
          <w:b/>
          <w:sz w:val="24"/>
          <w:szCs w:val="24"/>
        </w:rPr>
        <w:t xml:space="preserve"> </w:t>
      </w:r>
      <w:r w:rsidRPr="007D7195">
        <w:rPr>
          <w:rFonts w:ascii="Tahoma" w:eastAsia="Times New Roman" w:hAnsi="Tahoma" w:cs="Tahoma"/>
          <w:sz w:val="24"/>
          <w:szCs w:val="24"/>
        </w:rPr>
        <w:t>se completează</w:t>
      </w:r>
      <w:r>
        <w:rPr>
          <w:rFonts w:ascii="Tahoma" w:eastAsia="Times New Roman" w:hAnsi="Tahoma" w:cs="Tahoma"/>
          <w:sz w:val="24"/>
          <w:szCs w:val="24"/>
        </w:rPr>
        <w:t xml:space="preserve"> cu lit. a</w:t>
      </w:r>
      <w:r w:rsidRPr="007D7195">
        <w:rPr>
          <w:rFonts w:ascii="Tahoma" w:eastAsia="Times New Roman" w:hAnsi="Tahoma" w:cs="Tahoma"/>
          <w:sz w:val="24"/>
          <w:szCs w:val="24"/>
        </w:rPr>
        <w:t>) și se renumerotează în vederea introducerii modalității de facturare a deșeurilor biodegradabile</w:t>
      </w:r>
      <w:r>
        <w:rPr>
          <w:rFonts w:ascii="Tahoma" w:eastAsia="Times New Roman" w:hAnsi="Tahoma" w:cs="Tahoma"/>
          <w:sz w:val="24"/>
          <w:szCs w:val="24"/>
        </w:rPr>
        <w:t xml:space="preserve"> colectate separat din mediul urban, zona de blocuri,</w:t>
      </w:r>
      <w:r>
        <w:rPr>
          <w:rFonts w:ascii="Tahoma" w:eastAsia="Times New Roman" w:hAnsi="Tahoma" w:cs="Tahoma"/>
          <w:b/>
          <w:sz w:val="24"/>
          <w:szCs w:val="24"/>
        </w:rPr>
        <w:t xml:space="preserve"> </w:t>
      </w:r>
      <w:r w:rsidRPr="003C093D">
        <w:rPr>
          <w:rFonts w:ascii="Tahoma" w:eastAsia="Book Antiqua" w:hAnsi="Tahoma" w:cs="Tahoma"/>
          <w:sz w:val="24"/>
          <w:szCs w:val="24"/>
          <w:lang w:val="fr-BE"/>
        </w:rPr>
        <w:t>al</w:t>
      </w:r>
      <w:r w:rsidRPr="00880A08">
        <w:rPr>
          <w:rFonts w:ascii="Tahoma" w:eastAsia="Book Antiqua" w:hAnsi="Tahoma" w:cs="Tahoma"/>
          <w:b/>
          <w:sz w:val="24"/>
          <w:szCs w:val="24"/>
          <w:lang w:val="fr-BE"/>
        </w:rPr>
        <w:t xml:space="preserve"> SC Vitalia</w:t>
      </w:r>
      <w:r w:rsidRPr="00880A08">
        <w:rPr>
          <w:rFonts w:ascii="Tahoma" w:hAnsi="Tahoma" w:cs="Tahoma"/>
          <w:b/>
          <w:sz w:val="24"/>
          <w:szCs w:val="24"/>
          <w:lang w:val="it-IT"/>
        </w:rPr>
        <w:t xml:space="preserve"> Servicii Pentru Mediu Tratarea Deșeurilor SRL</w:t>
      </w:r>
      <w:r>
        <w:rPr>
          <w:rFonts w:ascii="Tahoma" w:hAnsi="Tahoma" w:cs="Tahoma"/>
          <w:b/>
          <w:sz w:val="24"/>
          <w:szCs w:val="24"/>
          <w:lang w:val="it-IT"/>
        </w:rPr>
        <w:t>,</w:t>
      </w:r>
      <w:r>
        <w:rPr>
          <w:rFonts w:ascii="Tahoma" w:eastAsia="Times New Roman" w:hAnsi="Tahoma" w:cs="Tahoma"/>
          <w:b/>
          <w:sz w:val="24"/>
          <w:szCs w:val="24"/>
        </w:rPr>
        <w:t xml:space="preserve"> </w:t>
      </w:r>
      <w:r>
        <w:rPr>
          <w:rFonts w:ascii="Tahoma" w:eastAsia="Times New Roman" w:hAnsi="Tahoma" w:cs="Tahoma"/>
          <w:sz w:val="24"/>
          <w:szCs w:val="24"/>
        </w:rPr>
        <w:t>care</w:t>
      </w:r>
      <w:r w:rsidRPr="007D7195">
        <w:rPr>
          <w:rFonts w:ascii="Tahoma" w:eastAsia="Times New Roman" w:hAnsi="Tahoma" w:cs="Tahoma"/>
          <w:sz w:val="24"/>
          <w:szCs w:val="24"/>
        </w:rPr>
        <w:t xml:space="preserve"> va avea următorul conținut:</w:t>
      </w:r>
    </w:p>
    <w:p w14:paraId="31E3E191"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Times New Roman" w:hAnsi="Tahoma" w:cs="Tahoma"/>
          <w:i/>
          <w:sz w:val="24"/>
          <w:szCs w:val="24"/>
        </w:rPr>
        <w:t>„</w:t>
      </w:r>
      <w:r w:rsidRPr="003C093D">
        <w:rPr>
          <w:rFonts w:ascii="Tahoma" w:eastAsia="Book Antiqua" w:hAnsi="Tahoma" w:cs="Tahoma"/>
          <w:i/>
          <w:sz w:val="24"/>
          <w:szCs w:val="24"/>
          <w:lang w:val="fr-BE"/>
        </w:rPr>
        <w:t>Modul de facturare al SC Vitalia</w:t>
      </w:r>
      <w:r w:rsidRPr="003C093D">
        <w:rPr>
          <w:rFonts w:ascii="Tahoma" w:eastAsiaTheme="minorEastAsia" w:hAnsi="Tahoma" w:cs="Tahoma"/>
          <w:i/>
          <w:sz w:val="24"/>
          <w:szCs w:val="24"/>
          <w:lang w:val="it-IT"/>
        </w:rPr>
        <w:t xml:space="preserve"> Servicii Pentru Mediu Tratarea Deșeurilor SRL</w:t>
      </w:r>
      <w:r w:rsidRPr="003C093D">
        <w:rPr>
          <w:rFonts w:ascii="Tahoma" w:eastAsia="Book Antiqua" w:hAnsi="Tahoma" w:cs="Tahoma"/>
          <w:i/>
          <w:sz w:val="24"/>
          <w:szCs w:val="24"/>
          <w:lang w:val="fr-BE"/>
        </w:rPr>
        <w:t>:</w:t>
      </w:r>
    </w:p>
    <w:p w14:paraId="0E513F63"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p>
    <w:p w14:paraId="5DF965EC" w14:textId="77777777" w:rsidR="00794FEC" w:rsidRPr="003C093D" w:rsidRDefault="00794FEC" w:rsidP="00794FEC">
      <w:pPr>
        <w:numPr>
          <w:ilvl w:val="0"/>
          <w:numId w:val="21"/>
        </w:numPr>
        <w:tabs>
          <w:tab w:val="left" w:pos="900"/>
        </w:tabs>
        <w:spacing w:line="234" w:lineRule="auto"/>
        <w:ind w:left="720" w:hanging="90"/>
        <w:contextualSpacing/>
        <w:jc w:val="both"/>
        <w:rPr>
          <w:rFonts w:ascii="Tahoma" w:eastAsia="Book Antiqua" w:hAnsi="Tahoma" w:cs="Tahoma"/>
          <w:i/>
          <w:sz w:val="24"/>
          <w:szCs w:val="24"/>
          <w:lang w:val="fr-BE"/>
        </w:rPr>
      </w:pPr>
      <w:r w:rsidRPr="003C093D">
        <w:rPr>
          <w:rFonts w:ascii="Tahoma" w:eastAsia="Book Antiqua" w:hAnsi="Tahoma" w:cs="Tahoma"/>
          <w:i/>
          <w:sz w:val="24"/>
          <w:szCs w:val="24"/>
          <w:u w:val="single"/>
          <w:lang w:val="fr-BE"/>
        </w:rPr>
        <w:t>Pentru deșeurile biodegradabile colectate și transportate separat din zona de blocuri din mediul urban</w:t>
      </w:r>
      <w:r w:rsidRPr="003C093D">
        <w:rPr>
          <w:rFonts w:ascii="Tahoma" w:eastAsia="Book Antiqua" w:hAnsi="Tahoma" w:cs="Tahoma"/>
          <w:i/>
          <w:sz w:val="24"/>
          <w:szCs w:val="24"/>
          <w:lang w:val="fr-BE"/>
        </w:rPr>
        <w:t> :</w:t>
      </w:r>
    </w:p>
    <w:p w14:paraId="43C7E7F9" w14:textId="77777777" w:rsidR="00794FEC" w:rsidRPr="003C093D" w:rsidRDefault="00794FEC" w:rsidP="00794FEC">
      <w:pPr>
        <w:numPr>
          <w:ilvl w:val="0"/>
          <w:numId w:val="22"/>
        </w:numPr>
        <w:spacing w:line="234" w:lineRule="auto"/>
        <w:ind w:left="720" w:firstLine="0"/>
        <w:contextualSpacing/>
        <w:jc w:val="both"/>
        <w:rPr>
          <w:rFonts w:ascii="Tahoma" w:eastAsia="Book Antiqua" w:hAnsi="Tahoma" w:cs="Tahoma"/>
          <w:i/>
          <w:sz w:val="24"/>
          <w:szCs w:val="24"/>
          <w:lang w:val="fr-BE"/>
        </w:rPr>
      </w:pPr>
      <w:r w:rsidRPr="003C093D">
        <w:rPr>
          <w:rFonts w:ascii="Tahoma" w:eastAsia="Book Antiqua" w:hAnsi="Tahoma" w:cs="Tahoma"/>
          <w:i/>
          <w:sz w:val="24"/>
          <w:szCs w:val="24"/>
          <w:lang w:val="fr-BE"/>
        </w:rPr>
        <w:t>(Tcompost x Qc) + (Tdep x Q dep-reziduu) + (CEC x Qdep- reziduu) +TVA*</w:t>
      </w:r>
    </w:p>
    <w:p w14:paraId="671B221B" w14:textId="77777777" w:rsidR="00794FEC" w:rsidRPr="003C093D" w:rsidRDefault="00794FEC" w:rsidP="00794FEC">
      <w:pPr>
        <w:spacing w:line="234" w:lineRule="auto"/>
        <w:ind w:left="720"/>
        <w:contextualSpacing/>
        <w:jc w:val="both"/>
        <w:rPr>
          <w:rFonts w:ascii="Tahoma" w:eastAsia="Book Antiqua" w:hAnsi="Tahoma" w:cs="Tahoma"/>
          <w:i/>
          <w:sz w:val="24"/>
          <w:szCs w:val="24"/>
          <w:lang w:val="fr-BE"/>
        </w:rPr>
      </w:pPr>
    </w:p>
    <w:p w14:paraId="16F8602B" w14:textId="77777777" w:rsidR="00794FEC" w:rsidRPr="003C093D" w:rsidRDefault="00794FEC" w:rsidP="00794FEC">
      <w:pPr>
        <w:numPr>
          <w:ilvl w:val="0"/>
          <w:numId w:val="22"/>
        </w:numPr>
        <w:spacing w:line="234" w:lineRule="auto"/>
        <w:ind w:left="720" w:firstLine="0"/>
        <w:contextualSpacing/>
        <w:jc w:val="both"/>
        <w:rPr>
          <w:rFonts w:ascii="Tahoma" w:eastAsia="Book Antiqua" w:hAnsi="Tahoma" w:cs="Tahoma"/>
          <w:i/>
          <w:sz w:val="24"/>
          <w:szCs w:val="24"/>
          <w:lang w:val="fr-BE"/>
        </w:rPr>
      </w:pPr>
      <w:r w:rsidRPr="003C093D">
        <w:rPr>
          <w:rFonts w:ascii="Tahoma" w:eastAsia="Book Antiqua" w:hAnsi="Tahoma" w:cs="Tahoma"/>
          <w:i/>
          <w:sz w:val="24"/>
          <w:szCs w:val="24"/>
          <w:lang w:val="fr-BE"/>
        </w:rPr>
        <w:lastRenderedPageBreak/>
        <w:t>*) cantitatea de reziduu/ refuz rezultat din tratarea deșeurilor biodegradabile colectate separat nu poate depășii indicatorii de performanță aferenți activității, prevăzuți de specificațiile tehnice ale instalației și normele specifice ;</w:t>
      </w:r>
      <w:r w:rsidRPr="003C093D">
        <w:rPr>
          <w:rFonts w:ascii="Tahoma" w:eastAsia="Book Antiqua" w:hAnsi="Tahoma" w:cs="Tahoma"/>
          <w:i/>
          <w:sz w:val="24"/>
          <w:szCs w:val="24"/>
          <w:lang w:val="fr-BE"/>
        </w:rPr>
        <w:tab/>
      </w:r>
    </w:p>
    <w:p w14:paraId="518E1CD9" w14:textId="77777777" w:rsidR="00794FEC" w:rsidRPr="003C093D" w:rsidRDefault="00794FEC" w:rsidP="00794FEC">
      <w:pPr>
        <w:ind w:left="720"/>
        <w:contextualSpacing/>
        <w:rPr>
          <w:rFonts w:ascii="Tahoma" w:eastAsia="Book Antiqua" w:hAnsi="Tahoma" w:cs="Tahoma"/>
          <w:i/>
          <w:sz w:val="24"/>
          <w:szCs w:val="24"/>
          <w:lang w:val="fr-BE"/>
        </w:rPr>
      </w:pPr>
    </w:p>
    <w:p w14:paraId="53F598C2" w14:textId="77777777" w:rsidR="00794FEC" w:rsidRPr="003C093D" w:rsidRDefault="00794FEC" w:rsidP="00794FEC">
      <w:pPr>
        <w:numPr>
          <w:ilvl w:val="0"/>
          <w:numId w:val="22"/>
        </w:numPr>
        <w:spacing w:line="234" w:lineRule="auto"/>
        <w:ind w:left="720" w:firstLine="0"/>
        <w:contextualSpacing/>
        <w:jc w:val="both"/>
        <w:rPr>
          <w:rFonts w:ascii="Tahoma" w:eastAsia="Book Antiqua" w:hAnsi="Tahoma" w:cs="Tahoma"/>
          <w:i/>
          <w:sz w:val="24"/>
          <w:szCs w:val="24"/>
          <w:lang w:val="fr-BE"/>
        </w:rPr>
      </w:pPr>
      <w:r w:rsidRPr="003C093D">
        <w:rPr>
          <w:rFonts w:ascii="Tahoma" w:eastAsia="Book Antiqua" w:hAnsi="Tahoma" w:cs="Tahoma"/>
          <w:i/>
          <w:sz w:val="24"/>
          <w:szCs w:val="24"/>
          <w:lang w:val="fr-BE"/>
        </w:rPr>
        <w:t>NOTĂ : modalitatea de facturare se aplică și pentru celelalte situații expres prevăzute de regulamentul de salubrizare, pentru fluxurile de deșeuri biodegradabile colectate și transportate separat ;</w:t>
      </w:r>
    </w:p>
    <w:p w14:paraId="0FF221D9" w14:textId="77777777" w:rsidR="00794FEC" w:rsidRPr="003C093D" w:rsidRDefault="00794FEC" w:rsidP="00794FEC">
      <w:pPr>
        <w:spacing w:line="234" w:lineRule="auto"/>
        <w:ind w:left="1800"/>
        <w:contextualSpacing/>
        <w:jc w:val="both"/>
        <w:rPr>
          <w:rFonts w:ascii="Tahoma" w:eastAsia="Book Antiqua" w:hAnsi="Tahoma" w:cs="Tahoma"/>
          <w:i/>
          <w:sz w:val="24"/>
          <w:szCs w:val="24"/>
          <w:lang w:val="fr-BE"/>
        </w:rPr>
      </w:pPr>
    </w:p>
    <w:p w14:paraId="57092D5D" w14:textId="77777777" w:rsidR="00794FEC" w:rsidRPr="003C093D" w:rsidRDefault="00794FEC" w:rsidP="00794FEC">
      <w:pPr>
        <w:spacing w:line="234" w:lineRule="auto"/>
        <w:ind w:firstLine="720"/>
        <w:jc w:val="both"/>
        <w:rPr>
          <w:rFonts w:ascii="Tahoma" w:eastAsia="Book Antiqua" w:hAnsi="Tahoma" w:cs="Tahoma"/>
          <w:i/>
          <w:sz w:val="24"/>
          <w:szCs w:val="24"/>
          <w:u w:val="single"/>
          <w:lang w:val="fr-BE"/>
        </w:rPr>
      </w:pPr>
      <w:r w:rsidRPr="003C093D">
        <w:rPr>
          <w:rFonts w:ascii="Tahoma" w:eastAsia="Book Antiqua" w:hAnsi="Tahoma" w:cs="Tahoma"/>
          <w:i/>
          <w:sz w:val="24"/>
          <w:szCs w:val="24"/>
          <w:lang w:val="fr-BE"/>
        </w:rPr>
        <w:t xml:space="preserve">b) </w:t>
      </w:r>
      <w:r w:rsidRPr="003C093D">
        <w:rPr>
          <w:rFonts w:ascii="Tahoma" w:eastAsia="Book Antiqua" w:hAnsi="Tahoma" w:cs="Tahoma"/>
          <w:i/>
          <w:sz w:val="24"/>
          <w:szCs w:val="24"/>
          <w:u w:val="single"/>
          <w:lang w:val="fr-BE"/>
        </w:rPr>
        <w:t>Pentru deseurile reziduale de la zona de blocuri din mediul urban:</w:t>
      </w:r>
    </w:p>
    <w:p w14:paraId="161E3715"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[(Tcompost x Qc)+ (Tdep x Q dep-reziduu) + (CEC x Qdep- reziduu) + (CEC x Qstrat acoperire ]+TVA*</w:t>
      </w:r>
    </w:p>
    <w:p w14:paraId="2033E27E"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*în limita a 9000 tone/an, sau ca diferență dintre cantitățile de deșeuri biodegradabile colectate separat și capacitatea Stației de compostare, în situația în care aceste cantități depășesc 3.000 tone/an); cantitățile care depășesc acest prag vor fi facturate la tariful de depozitare, după formula :</w:t>
      </w:r>
    </w:p>
    <w:p w14:paraId="0184C8A7"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[(Tdep x Qc) + (CEC x Qc)] + TVA</w:t>
      </w:r>
    </w:p>
    <w:p w14:paraId="5E127014"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procentul maxim admis în facturarea reziduului de tratare este de 52% din cantitate, pentru care operatorul facturează atât tariful de depozitare cât și contribuția pentru economia circulară.</w:t>
      </w:r>
    </w:p>
    <w:p w14:paraId="04629F10"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procentul maxim admis pentru compostul rezultat din tratarea deșeurilor reziduale,  utilizat ca strat de acoperire pe depozit este de maxim 45% din cantitate, pentru care operatorul facturează valoarea contribuției pentru economia circulară.</w:t>
      </w:r>
    </w:p>
    <w:p w14:paraId="567CE80D"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în situația depășirii acestor indicatori, atât costurile cu depozitarea cât și valoarea contribuției pentru economia circulară vor fi suportate de către operatorul de tratare, fără a fi recuperate din tarife.</w:t>
      </w:r>
    </w:p>
    <w:p w14:paraId="10DF2041"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p>
    <w:p w14:paraId="5AE515CF"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c) Pentru deseurile reziduale din zona de case (urban si rural):</w:t>
      </w:r>
    </w:p>
    <w:p w14:paraId="218288E2"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 [(Tdep x Qc)+ (CEC x Qc)] +TVA</w:t>
      </w:r>
    </w:p>
    <w:p w14:paraId="27CA020C"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d) Pentru deseurile reciclabile:</w:t>
      </w:r>
    </w:p>
    <w:p w14:paraId="0BBD45D4"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-[(Tsortare  x Qc) + (CEC x Qdep-reziduu reciclabil)]+TVA</w:t>
      </w:r>
    </w:p>
    <w:p w14:paraId="772C83B8" w14:textId="77777777" w:rsidR="00794FEC" w:rsidRPr="003C093D" w:rsidRDefault="00794FEC" w:rsidP="00794FEC">
      <w:pPr>
        <w:spacing w:line="234" w:lineRule="auto"/>
        <w:jc w:val="both"/>
        <w:rPr>
          <w:rFonts w:ascii="Tahoma" w:eastAsia="Book Antiqua" w:hAnsi="Tahoma" w:cs="Tahoma"/>
          <w:i/>
          <w:sz w:val="24"/>
          <w:szCs w:val="24"/>
          <w:lang w:val="fr-BE"/>
        </w:rPr>
      </w:pPr>
    </w:p>
    <w:p w14:paraId="01C62268" w14:textId="77777777" w:rsidR="00794FEC" w:rsidRPr="003C093D" w:rsidRDefault="00794FEC" w:rsidP="00794FEC">
      <w:pPr>
        <w:spacing w:line="234" w:lineRule="auto"/>
        <w:jc w:val="both"/>
        <w:rPr>
          <w:rFonts w:ascii="Tahoma" w:eastAsia="Book Antiqua" w:hAnsi="Tahoma" w:cs="Tahoma"/>
          <w:i/>
          <w:sz w:val="24"/>
          <w:szCs w:val="24"/>
          <w:lang w:val="fr-BE"/>
        </w:rPr>
      </w:pPr>
      <w:r w:rsidRPr="003C093D">
        <w:rPr>
          <w:rFonts w:ascii="Tahoma" w:eastAsia="Book Antiqua" w:hAnsi="Tahoma" w:cs="Tahoma"/>
          <w:i/>
          <w:sz w:val="24"/>
          <w:szCs w:val="24"/>
          <w:lang w:val="fr-BE"/>
        </w:rPr>
        <w:t>*) procentul de reziduu rezultat din procesul de sortare care poate fi facturat UAT-urilor este în limita indicatorilor de performanță din contract.</w:t>
      </w:r>
    </w:p>
    <w:p w14:paraId="2922AD4D" w14:textId="77777777" w:rsidR="00794FEC" w:rsidRPr="003C093D" w:rsidRDefault="00794FEC" w:rsidP="00794FEC">
      <w:pPr>
        <w:spacing w:line="234" w:lineRule="auto"/>
        <w:jc w:val="both"/>
        <w:rPr>
          <w:rFonts w:ascii="Tahoma" w:eastAsia="Book Antiqua" w:hAnsi="Tahoma" w:cs="Tahoma"/>
          <w:i/>
          <w:sz w:val="24"/>
          <w:szCs w:val="24"/>
          <w:lang w:val="fr-BE"/>
        </w:rPr>
      </w:pPr>
    </w:p>
    <w:p w14:paraId="325F1B52"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În cazul neîndeplinirii obiectivelor anuale cu privire la valorificarea energetică, cheltuielile cu aceasta cuprinse în tariful de sortare aplicate la diferența procentuală luată în calcul la fundamentarea tarifului, vor face obiectul scăzământului anual (la împlinirea unui an de aplicare a tarifului).</w:t>
      </w:r>
    </w:p>
    <w:p w14:paraId="05A7FA0D" w14:textId="77777777" w:rsidR="00794FEC" w:rsidRPr="003C093D" w:rsidRDefault="00794FEC" w:rsidP="00794FEC">
      <w:pPr>
        <w:spacing w:line="234" w:lineRule="auto"/>
        <w:ind w:firstLine="720"/>
        <w:jc w:val="both"/>
        <w:rPr>
          <w:rFonts w:ascii="Tahoma" w:eastAsia="Book Antiqua" w:hAnsi="Tahoma" w:cs="Tahoma"/>
          <w:i/>
          <w:sz w:val="24"/>
          <w:szCs w:val="24"/>
          <w:lang w:val="fr-BE"/>
        </w:rPr>
      </w:pPr>
      <w:r w:rsidRPr="003C093D">
        <w:rPr>
          <w:rFonts w:ascii="Tahoma" w:eastAsia="Book Antiqua" w:hAnsi="Tahoma" w:cs="Tahoma"/>
          <w:i/>
          <w:sz w:val="24"/>
          <w:szCs w:val="24"/>
          <w:lang w:val="fr-BE"/>
        </w:rPr>
        <w:t>În situația în care cantitățile de deșeuri valorificate energetic nu sunt realizate, respectiv, dacă procentul de valorificare energetică luat în calcul la fundamentarea tarifului nu este îndeplinit, pe facturile emise UAT-urilor pentru prestația aferentă lunii următoare împlinirii anului, se va aplica fiecărui UAT în funcție de cantitățile colectate de la fiecare în parte, un scăzământ, după formula :</w:t>
      </w:r>
    </w:p>
    <w:p w14:paraId="18306F5C" w14:textId="77777777" w:rsidR="00794FEC" w:rsidRPr="003C093D" w:rsidRDefault="00794FEC" w:rsidP="00794FEC">
      <w:pPr>
        <w:spacing w:line="234" w:lineRule="auto"/>
        <w:jc w:val="both"/>
        <w:rPr>
          <w:rFonts w:ascii="Tahoma" w:eastAsia="Book Antiqua" w:hAnsi="Tahoma" w:cs="Tahoma"/>
          <w:i/>
          <w:sz w:val="24"/>
          <w:szCs w:val="24"/>
          <w:lang w:val="fr-BE"/>
        </w:rPr>
      </w:pPr>
    </w:p>
    <w:p w14:paraId="152CDD76" w14:textId="77777777" w:rsidR="00794FEC" w:rsidRPr="003C093D" w:rsidRDefault="00794FEC" w:rsidP="00794FEC">
      <w:pPr>
        <w:spacing w:line="234" w:lineRule="auto"/>
        <w:jc w:val="both"/>
        <w:rPr>
          <w:rFonts w:ascii="Tahoma" w:eastAsia="Book Antiqua" w:hAnsi="Tahoma" w:cs="Tahoma"/>
          <w:i/>
          <w:sz w:val="24"/>
          <w:szCs w:val="24"/>
          <w:lang w:val="fr-BE"/>
        </w:rPr>
      </w:pPr>
      <w:r w:rsidRPr="003C093D">
        <w:rPr>
          <w:rFonts w:ascii="Tahoma" w:eastAsia="Book Antiqua" w:hAnsi="Tahoma" w:cs="Tahoma"/>
          <w:i/>
          <w:sz w:val="24"/>
          <w:szCs w:val="24"/>
          <w:u w:val="single"/>
          <w:lang w:val="fr-BE"/>
        </w:rPr>
        <w:lastRenderedPageBreak/>
        <w:t>Valoare scăzământ</w:t>
      </w:r>
      <w:r w:rsidRPr="003C093D">
        <w:rPr>
          <w:rFonts w:ascii="Tahoma" w:eastAsia="Book Antiqua" w:hAnsi="Tahoma" w:cs="Tahoma"/>
          <w:i/>
          <w:sz w:val="24"/>
          <w:szCs w:val="24"/>
          <w:lang w:val="fr-BE"/>
        </w:rPr>
        <w:t>=(Diferența de cantitate neîndeplinită privind valorificarea energetică până la concurența cantității obținute prin aplicarea procentului luat în calcul la fundamentarea tarifului de sortare, la cantitatea de deșeuri reciclabile aduse de operatorul colector ) X (costurile cu valorificarea energetică luate în calcul la fundamentarea tarifului)</w:t>
      </w:r>
    </w:p>
    <w:p w14:paraId="7538C4D1" w14:textId="77777777" w:rsidR="00794FEC" w:rsidRPr="003C093D" w:rsidRDefault="00794FEC" w:rsidP="00794FEC">
      <w:pPr>
        <w:spacing w:line="234" w:lineRule="auto"/>
        <w:jc w:val="both"/>
        <w:rPr>
          <w:rFonts w:ascii="Tahoma" w:eastAsia="Book Antiqua" w:hAnsi="Tahoma" w:cs="Tahoma"/>
          <w:i/>
          <w:sz w:val="24"/>
          <w:szCs w:val="24"/>
          <w:lang w:val="fr-BE"/>
        </w:rPr>
      </w:pPr>
    </w:p>
    <w:p w14:paraId="1DE374AC" w14:textId="77777777" w:rsidR="00794FEC" w:rsidRPr="003C093D" w:rsidRDefault="00794FEC" w:rsidP="00794FEC">
      <w:pPr>
        <w:spacing w:line="234" w:lineRule="auto"/>
        <w:jc w:val="both"/>
        <w:rPr>
          <w:rFonts w:ascii="Tahoma" w:eastAsia="Book Antiqua" w:hAnsi="Tahoma" w:cs="Tahoma"/>
          <w:i/>
          <w:sz w:val="24"/>
          <w:szCs w:val="24"/>
          <w:lang w:val="fr-BE"/>
        </w:rPr>
      </w:pPr>
      <w:r w:rsidRPr="003C093D">
        <w:rPr>
          <w:rFonts w:ascii="Tahoma" w:eastAsia="Book Antiqua" w:hAnsi="Tahoma" w:cs="Tahoma"/>
          <w:i/>
          <w:sz w:val="24"/>
          <w:szCs w:val="24"/>
          <w:lang w:val="fr-BE"/>
        </w:rPr>
        <w:t>NOTĂ : În situația în care procentul de valorificare energetică luat în calcul la fundamentarea tarifului nu poate fi îndeplinit din motive neimputabile operatorului, cum ar fi, creșterea cantităților de deșeuri valorificabile material sau calitatea inferioară a deșeurilor cu potențial de a fi valorificate energetic care duce la neacceptarea acestora la instalațiile de incinerare, procentul de valorificare energetică va fi ajustat în consecință ”</w:t>
      </w:r>
    </w:p>
    <w:p w14:paraId="39FFAFF2" w14:textId="77777777" w:rsidR="00794FEC" w:rsidRPr="007D7195" w:rsidRDefault="00794FEC" w:rsidP="00794FEC">
      <w:pPr>
        <w:spacing w:after="160" w:line="267" w:lineRule="auto"/>
        <w:contextualSpacing/>
        <w:jc w:val="both"/>
        <w:rPr>
          <w:rFonts w:ascii="Tahoma" w:eastAsia="Times New Roman" w:hAnsi="Tahoma" w:cs="Tahoma"/>
          <w:b/>
          <w:i/>
          <w:sz w:val="24"/>
          <w:szCs w:val="24"/>
        </w:rPr>
      </w:pPr>
    </w:p>
    <w:p w14:paraId="210D9901" w14:textId="77777777" w:rsidR="00794FEC" w:rsidRDefault="00794FEC" w:rsidP="00794FEC">
      <w:pPr>
        <w:spacing w:after="160" w:line="267" w:lineRule="auto"/>
        <w:contextualSpacing/>
        <w:jc w:val="both"/>
        <w:rPr>
          <w:rFonts w:ascii="Tahoma" w:eastAsia="Times New Roman" w:hAnsi="Tahoma" w:cs="Tahoma"/>
          <w:sz w:val="24"/>
          <w:szCs w:val="24"/>
        </w:rPr>
      </w:pPr>
      <w:r>
        <w:rPr>
          <w:rFonts w:ascii="Tahoma" w:eastAsia="Times New Roman" w:hAnsi="Tahoma" w:cs="Tahoma"/>
          <w:b/>
          <w:sz w:val="24"/>
          <w:szCs w:val="24"/>
        </w:rPr>
        <w:t>Art. 18. Anexa nr. 9 a Regulamentului de salubrizare-</w:t>
      </w:r>
      <w:r w:rsidRPr="00235396">
        <w:t xml:space="preserve"> </w:t>
      </w:r>
      <w:r w:rsidRPr="00235396">
        <w:rPr>
          <w:rFonts w:ascii="Tahoma" w:eastAsia="Times New Roman" w:hAnsi="Tahoma" w:cs="Tahoma"/>
          <w:b/>
          <w:sz w:val="24"/>
          <w:szCs w:val="24"/>
        </w:rPr>
        <w:t xml:space="preserve">Procedura de compostare a </w:t>
      </w:r>
      <w:r w:rsidRPr="00E5138A">
        <w:rPr>
          <w:rFonts w:ascii="Tahoma" w:eastAsia="Times New Roman" w:hAnsi="Tahoma" w:cs="Tahoma"/>
          <w:b/>
          <w:sz w:val="24"/>
          <w:szCs w:val="24"/>
        </w:rPr>
        <w:t>deșeurilor biodegradabile în gospodăriile individuale</w:t>
      </w:r>
      <w:r w:rsidRPr="00670A49">
        <w:rPr>
          <w:rFonts w:ascii="Tahoma" w:eastAsia="Times New Roman" w:hAnsi="Tahoma" w:cs="Tahoma"/>
          <w:sz w:val="24"/>
          <w:szCs w:val="24"/>
        </w:rPr>
        <w:t>, se modifică și se completează cu</w:t>
      </w:r>
      <w:r>
        <w:rPr>
          <w:rFonts w:ascii="Tahoma" w:eastAsia="Times New Roman" w:hAnsi="Tahoma" w:cs="Tahoma"/>
          <w:b/>
          <w:sz w:val="24"/>
          <w:szCs w:val="24"/>
        </w:rPr>
        <w:t xml:space="preserve"> Metodologia</w:t>
      </w:r>
      <w:r w:rsidRPr="00235396">
        <w:rPr>
          <w:rFonts w:ascii="Tahoma" w:eastAsia="Times New Roman" w:hAnsi="Tahoma" w:cs="Tahoma"/>
          <w:b/>
          <w:sz w:val="24"/>
          <w:szCs w:val="24"/>
        </w:rPr>
        <w:t xml:space="preserve"> privind monitorizarea și determinarea cantităților de biodeșeuri compostate individual</w:t>
      </w:r>
      <w:r>
        <w:rPr>
          <w:rFonts w:ascii="Tahoma" w:eastAsia="Times New Roman" w:hAnsi="Tahoma" w:cs="Tahoma"/>
          <w:b/>
          <w:sz w:val="24"/>
          <w:szCs w:val="24"/>
        </w:rPr>
        <w:t xml:space="preserve">, </w:t>
      </w:r>
      <w:r w:rsidRPr="00670A49">
        <w:rPr>
          <w:rFonts w:ascii="Tahoma" w:eastAsia="Times New Roman" w:hAnsi="Tahoma" w:cs="Tahoma"/>
          <w:sz w:val="24"/>
          <w:szCs w:val="24"/>
        </w:rPr>
        <w:t>care va avea următorul conținut:</w:t>
      </w:r>
    </w:p>
    <w:p w14:paraId="21B376C9" w14:textId="77777777" w:rsidR="00794FEC" w:rsidRPr="003C093D" w:rsidRDefault="00794FEC" w:rsidP="00794FEC">
      <w:pPr>
        <w:tabs>
          <w:tab w:val="left" w:pos="720"/>
        </w:tabs>
        <w:jc w:val="center"/>
        <w:rPr>
          <w:rFonts w:ascii="Tahoma" w:eastAsiaTheme="minorEastAsia" w:hAnsi="Tahoma" w:cs="Tahoma"/>
          <w:b/>
          <w:i/>
        </w:rPr>
      </w:pPr>
      <w:r w:rsidRPr="003C093D">
        <w:rPr>
          <w:rFonts w:ascii="Tahoma" w:eastAsia="Times New Roman" w:hAnsi="Tahoma" w:cs="Tahoma"/>
          <w:i/>
        </w:rPr>
        <w:t>„</w:t>
      </w:r>
      <w:r w:rsidRPr="003C093D">
        <w:rPr>
          <w:rFonts w:ascii="Tahoma" w:eastAsiaTheme="minorEastAsia" w:hAnsi="Tahoma" w:cs="Tahoma"/>
          <w:b/>
          <w:i/>
        </w:rPr>
        <w:t>Metodologie privind monitorizarea și determinarea cantităților de biodeșeuri compostate individual</w:t>
      </w:r>
    </w:p>
    <w:p w14:paraId="7CE0B211" w14:textId="77777777" w:rsidR="00794FEC" w:rsidRPr="003C093D" w:rsidRDefault="00794FEC" w:rsidP="00794FEC">
      <w:pPr>
        <w:tabs>
          <w:tab w:val="left" w:pos="720"/>
        </w:tabs>
        <w:rPr>
          <w:rFonts w:ascii="Tahoma" w:eastAsiaTheme="minorEastAsia" w:hAnsi="Tahoma" w:cs="Tahoma"/>
          <w:b/>
          <w:bCs/>
          <w:i/>
        </w:rPr>
      </w:pPr>
    </w:p>
    <w:p w14:paraId="531C2718"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Scop</w:t>
      </w:r>
    </w:p>
    <w:p w14:paraId="7A14935D"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ab/>
        <w:t>Prezenta procedură stabilește modul de implementare, monitorizare și determinare a cantităților de biodeșeuri tratate prin compostare individuală la nivelul gospodăriilor populației județului Bistrița-Năsăud, în vederea luării în calcul la îndeplinirea obiectivelor de reciclare și deviere de la depozitare, în conformitate cu legislația în vigoare.</w:t>
      </w:r>
    </w:p>
    <w:p w14:paraId="02665A37"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Procedura are ca obiectiv:</w:t>
      </w:r>
    </w:p>
    <w:p w14:paraId="2B9F942C" w14:textId="77777777" w:rsidR="00794FEC" w:rsidRPr="003C093D" w:rsidRDefault="00794FEC" w:rsidP="00794FEC">
      <w:pPr>
        <w:pStyle w:val="Listparagraf"/>
        <w:numPr>
          <w:ilvl w:val="0"/>
          <w:numId w:val="7"/>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determinarea biodeșeurilor compostate la sursă;</w:t>
      </w:r>
    </w:p>
    <w:p w14:paraId="24042B90" w14:textId="77777777" w:rsidR="00794FEC" w:rsidRPr="003C093D" w:rsidRDefault="00794FEC" w:rsidP="00794FEC">
      <w:pPr>
        <w:pStyle w:val="Listparagraf"/>
        <w:numPr>
          <w:ilvl w:val="0"/>
          <w:numId w:val="7"/>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transformarea volumelor declarate în cantități (kg);</w:t>
      </w:r>
    </w:p>
    <w:p w14:paraId="4F07FA0B" w14:textId="77777777" w:rsidR="00794FEC" w:rsidRPr="003C093D" w:rsidRDefault="00794FEC" w:rsidP="00794FEC">
      <w:pPr>
        <w:pStyle w:val="Listparagraf"/>
        <w:numPr>
          <w:ilvl w:val="0"/>
          <w:numId w:val="7"/>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cuantificarea cantităților deviate anual de la depozitare;</w:t>
      </w:r>
    </w:p>
    <w:p w14:paraId="001063D2" w14:textId="77777777" w:rsidR="00794FEC" w:rsidRPr="00C069C9" w:rsidRDefault="00794FEC" w:rsidP="00794FEC">
      <w:pPr>
        <w:pStyle w:val="Listparagraf"/>
        <w:numPr>
          <w:ilvl w:val="0"/>
          <w:numId w:val="7"/>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 xml:space="preserve">fundamentarea raportărilor către autoritățile competente. </w:t>
      </w:r>
    </w:p>
    <w:p w14:paraId="0FD23161"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Domeniu de aplicare</w:t>
      </w:r>
    </w:p>
    <w:p w14:paraId="0DBD11A9"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Se aplică tuturor utilizatorilor casnici din UAT care:</w:t>
      </w:r>
    </w:p>
    <w:p w14:paraId="295B431A" w14:textId="77777777" w:rsidR="00794FEC" w:rsidRPr="003C093D" w:rsidRDefault="00794FEC" w:rsidP="00794FEC">
      <w:pPr>
        <w:pStyle w:val="Listparagraf"/>
        <w:numPr>
          <w:ilvl w:val="0"/>
          <w:numId w:val="8"/>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Utilizează o unitate de  compostare individuală (grămadă de compost sau gunoi/compostor);</w:t>
      </w:r>
    </w:p>
    <w:p w14:paraId="2D2A0166" w14:textId="77777777" w:rsidR="00794FEC" w:rsidRPr="003C093D" w:rsidRDefault="00794FEC" w:rsidP="00794FEC">
      <w:pPr>
        <w:pStyle w:val="Listparagraf"/>
        <w:numPr>
          <w:ilvl w:val="0"/>
          <w:numId w:val="8"/>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tratează biodeșeurile în propria gospodărie;</w:t>
      </w:r>
    </w:p>
    <w:p w14:paraId="3F847C39" w14:textId="77777777" w:rsidR="00794FEC" w:rsidRPr="003C093D" w:rsidRDefault="00794FEC" w:rsidP="00794FEC">
      <w:pPr>
        <w:pStyle w:val="Listparagraf"/>
        <w:numPr>
          <w:ilvl w:val="0"/>
          <w:numId w:val="8"/>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participă voluntar la sistemul de monitorizare.</w:t>
      </w:r>
    </w:p>
    <w:p w14:paraId="589E6C33"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Bază legală</w:t>
      </w:r>
    </w:p>
    <w:p w14:paraId="50A9C408"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Prezenta procedură este elaborată în conformitate cu:</w:t>
      </w:r>
    </w:p>
    <w:p w14:paraId="1BD24924" w14:textId="77777777" w:rsidR="00794FEC" w:rsidRPr="003C093D" w:rsidRDefault="00794FEC" w:rsidP="00794FEC">
      <w:pPr>
        <w:pStyle w:val="Listparagraf"/>
        <w:numPr>
          <w:ilvl w:val="0"/>
          <w:numId w:val="9"/>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OUG 92/2021 privind regimul deșeurilor, cu modificările ulterioare;</w:t>
      </w:r>
    </w:p>
    <w:p w14:paraId="6D4CA292" w14:textId="77777777" w:rsidR="00794FEC" w:rsidRPr="003C093D" w:rsidRDefault="00794FEC" w:rsidP="00794FEC">
      <w:pPr>
        <w:pStyle w:val="Listparagraf"/>
        <w:numPr>
          <w:ilvl w:val="0"/>
          <w:numId w:val="9"/>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Legea 181/2020 privind gestionarea deșeurilor compostabile;</w:t>
      </w:r>
    </w:p>
    <w:p w14:paraId="3005B998" w14:textId="77777777" w:rsidR="00794FEC" w:rsidRPr="003C093D" w:rsidRDefault="00794FEC" w:rsidP="00794FEC">
      <w:pPr>
        <w:pStyle w:val="Listparagraf"/>
        <w:numPr>
          <w:ilvl w:val="0"/>
          <w:numId w:val="9"/>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Legea 101/2006 a serviciului de salubrizare;</w:t>
      </w:r>
    </w:p>
    <w:p w14:paraId="66ADCE1D" w14:textId="77777777" w:rsidR="00794FEC" w:rsidRPr="003C093D" w:rsidRDefault="00794FEC" w:rsidP="00794FEC">
      <w:pPr>
        <w:pStyle w:val="Listparagraf"/>
        <w:numPr>
          <w:ilvl w:val="0"/>
          <w:numId w:val="9"/>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Strategia Națională și Planul Național de Gestionare a Deșeurilor;</w:t>
      </w:r>
    </w:p>
    <w:p w14:paraId="34C91CD5" w14:textId="77777777" w:rsidR="00794FEC" w:rsidRPr="003C093D" w:rsidRDefault="00794FEC" w:rsidP="00794FEC">
      <w:pPr>
        <w:pStyle w:val="Listparagraf"/>
        <w:numPr>
          <w:ilvl w:val="0"/>
          <w:numId w:val="9"/>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lastRenderedPageBreak/>
        <w:t>Studiul privind estimarea potențialului de colectare separată a biodeșeurilor și a potențialului de compostare individuală- Anexa nr. 7 la Regulamentul de organizare și funcționare a serviciului public de salubrizare din județul Bistrița-Năsăud;</w:t>
      </w:r>
    </w:p>
    <w:p w14:paraId="2263D93E" w14:textId="77777777" w:rsidR="00794FEC" w:rsidRPr="003C093D" w:rsidRDefault="00794FEC" w:rsidP="00794FEC">
      <w:pPr>
        <w:pStyle w:val="Listparagraf"/>
        <w:numPr>
          <w:ilvl w:val="0"/>
          <w:numId w:val="9"/>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Decizia de punere în aplicare (UE) 2019/1004;</w:t>
      </w:r>
    </w:p>
    <w:p w14:paraId="6B91EC66"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Principiul metodei de determinare</w:t>
      </w:r>
    </w:p>
    <w:p w14:paraId="5826ECD4"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Cantitatea de biodeșeuri compostată se determină prin:</w:t>
      </w:r>
    </w:p>
    <w:p w14:paraId="685870E2" w14:textId="77777777" w:rsidR="00794FEC" w:rsidRPr="003C093D" w:rsidRDefault="00794FEC" w:rsidP="00794FEC">
      <w:pPr>
        <w:pStyle w:val="Listparagraf"/>
        <w:numPr>
          <w:ilvl w:val="0"/>
          <w:numId w:val="10"/>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colectarea datelor declarative de la utilizatori (chestionar);</w:t>
      </w:r>
    </w:p>
    <w:p w14:paraId="23EF6F36" w14:textId="77777777" w:rsidR="00794FEC" w:rsidRPr="003C093D" w:rsidRDefault="00794FEC" w:rsidP="00794FEC">
      <w:pPr>
        <w:pStyle w:val="Listparagraf"/>
        <w:numPr>
          <w:ilvl w:val="0"/>
          <w:numId w:val="10"/>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exprimarea cantităților în volum (litri);</w:t>
      </w:r>
    </w:p>
    <w:p w14:paraId="338A2DAE" w14:textId="77777777" w:rsidR="00794FEC" w:rsidRPr="003C093D" w:rsidRDefault="00794FEC" w:rsidP="00794FEC">
      <w:pPr>
        <w:pStyle w:val="Listparagraf"/>
        <w:numPr>
          <w:ilvl w:val="0"/>
          <w:numId w:val="10"/>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transformarea volumului în masă utilizând densitatea medie standard.</w:t>
      </w:r>
    </w:p>
    <w:p w14:paraId="5707357D" w14:textId="77777777" w:rsidR="00794FEC" w:rsidRPr="003C093D" w:rsidRDefault="00794FEC" w:rsidP="00794FEC">
      <w:pPr>
        <w:tabs>
          <w:tab w:val="left" w:pos="720"/>
        </w:tabs>
        <w:spacing w:line="360" w:lineRule="auto"/>
        <w:jc w:val="both"/>
        <w:rPr>
          <w:rFonts w:ascii="Tahoma" w:eastAsiaTheme="minorEastAsia" w:hAnsi="Tahoma" w:cs="Tahoma"/>
          <w:bCs/>
          <w:i/>
        </w:rPr>
      </w:pPr>
      <w:r w:rsidRPr="003C093D">
        <w:rPr>
          <w:rFonts w:ascii="Tahoma" w:eastAsiaTheme="minorEastAsia" w:hAnsi="Tahoma" w:cs="Tahoma"/>
          <w:i/>
        </w:rPr>
        <w:t xml:space="preserve">Densitate utilizată este de </w:t>
      </w:r>
      <w:r w:rsidRPr="003C093D">
        <w:rPr>
          <w:rFonts w:ascii="Tahoma" w:eastAsiaTheme="minorEastAsia" w:hAnsi="Tahoma" w:cs="Tahoma"/>
          <w:b/>
          <w:bCs/>
          <w:i/>
        </w:rPr>
        <w:t xml:space="preserve">350 kg/m³, </w:t>
      </w:r>
      <w:r w:rsidRPr="003C093D">
        <w:rPr>
          <w:rFonts w:ascii="Tahoma" w:eastAsiaTheme="minorEastAsia" w:hAnsi="Tahoma" w:cs="Tahoma"/>
          <w:bCs/>
          <w:i/>
        </w:rPr>
        <w:t>în conformitate cu prevederile Ordinului ANRSC nr. 98/2025;</w:t>
      </w:r>
    </w:p>
    <w:p w14:paraId="4A9BEEFA"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Instrument de colectare a datelor</w:t>
      </w:r>
    </w:p>
    <w:p w14:paraId="5B2BBC3E"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Chestionar/gospodărie care reprezintă document justificativ de monitorizare, se  aplică o dată la 5 ani conform ghidului M.I.P.E. și va conține:</w:t>
      </w:r>
    </w:p>
    <w:p w14:paraId="37E1850B" w14:textId="77777777" w:rsidR="00794FEC" w:rsidRPr="003C093D" w:rsidRDefault="00794FEC" w:rsidP="00794FEC">
      <w:pPr>
        <w:pStyle w:val="Listparagraf"/>
        <w:numPr>
          <w:ilvl w:val="0"/>
          <w:numId w:val="11"/>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număr persoane/gospodărie;</w:t>
      </w:r>
    </w:p>
    <w:p w14:paraId="61B9CDC3" w14:textId="77777777" w:rsidR="00794FEC" w:rsidRPr="003C093D" w:rsidRDefault="00794FEC" w:rsidP="00794FEC">
      <w:pPr>
        <w:pStyle w:val="Listparagraf"/>
        <w:numPr>
          <w:ilvl w:val="0"/>
          <w:numId w:val="11"/>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utilizare o unitate de  compostare individuală (grămadă de compost sau gunoi/compostor);</w:t>
      </w:r>
    </w:p>
    <w:p w14:paraId="301798B8" w14:textId="77777777" w:rsidR="00794FEC" w:rsidRPr="003C093D" w:rsidRDefault="00794FEC" w:rsidP="00794FEC">
      <w:pPr>
        <w:pStyle w:val="Listparagraf"/>
        <w:numPr>
          <w:ilvl w:val="0"/>
          <w:numId w:val="11"/>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tip compostare (grămadă/recipient);</w:t>
      </w:r>
    </w:p>
    <w:p w14:paraId="144A8D62" w14:textId="77777777" w:rsidR="00794FEC" w:rsidRPr="003C093D" w:rsidRDefault="00794FEC" w:rsidP="00794FEC">
      <w:pPr>
        <w:pStyle w:val="Listparagraf"/>
        <w:numPr>
          <w:ilvl w:val="0"/>
          <w:numId w:val="11"/>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frecvență umplere găleată;</w:t>
      </w:r>
    </w:p>
    <w:p w14:paraId="0B1EA778" w14:textId="77777777" w:rsidR="00794FEC" w:rsidRPr="003C093D" w:rsidRDefault="00794FEC" w:rsidP="00794FEC">
      <w:pPr>
        <w:pStyle w:val="Listparagraf"/>
        <w:numPr>
          <w:ilvl w:val="0"/>
          <w:numId w:val="11"/>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volum găleată utilizată (10L / 15L / 20L etc.);</w:t>
      </w:r>
    </w:p>
    <w:p w14:paraId="320B6948" w14:textId="77777777" w:rsidR="00794FEC" w:rsidRPr="003C093D" w:rsidRDefault="00794FEC" w:rsidP="00794FEC">
      <w:pPr>
        <w:pStyle w:val="Listparagraf"/>
        <w:numPr>
          <w:ilvl w:val="0"/>
          <w:numId w:val="11"/>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câte cicluri de compostare pe an;</w:t>
      </w:r>
    </w:p>
    <w:p w14:paraId="7AD2BBF4" w14:textId="77777777" w:rsidR="00794FEC" w:rsidRPr="003C093D" w:rsidRDefault="00794FEC" w:rsidP="00794FEC">
      <w:pPr>
        <w:pStyle w:val="Listparagraf"/>
        <w:numPr>
          <w:ilvl w:val="0"/>
          <w:numId w:val="11"/>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utilizarea compostului ca fertilizant;</w:t>
      </w:r>
    </w:p>
    <w:p w14:paraId="018186D1"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Metoda de calcul</w:t>
      </w:r>
    </w:p>
    <w:p w14:paraId="611DA71D" w14:textId="77777777" w:rsidR="00794FEC" w:rsidRPr="003C093D" w:rsidRDefault="00794FEC" w:rsidP="00794FEC">
      <w:pPr>
        <w:pStyle w:val="Listparagraf"/>
        <w:numPr>
          <w:ilvl w:val="1"/>
          <w:numId w:val="6"/>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Determinare volum anual</w:t>
      </w:r>
    </w:p>
    <w:p w14:paraId="49A0DD4D" w14:textId="77777777" w:rsidR="00794FEC" w:rsidRPr="003C093D" w:rsidRDefault="00794FEC" w:rsidP="00794FEC">
      <w:pPr>
        <w:tabs>
          <w:tab w:val="left" w:pos="720"/>
        </w:tabs>
        <w:spacing w:line="360" w:lineRule="auto"/>
        <w:jc w:val="center"/>
        <w:rPr>
          <w:rFonts w:ascii="Tahoma" w:eastAsiaTheme="minorEastAsia" w:hAnsi="Tahoma" w:cs="Tahoma"/>
          <w:i/>
        </w:rPr>
      </w:pPr>
      <w:r w:rsidRPr="003C093D">
        <w:rPr>
          <w:rFonts w:ascii="Tahoma" w:eastAsiaTheme="minorEastAsia" w:hAnsi="Tahoma" w:cs="Tahoma"/>
          <w:i/>
        </w:rPr>
        <w:t>V_{anual} = N_{goliri/lună} × V_{găleată} × 12</w:t>
      </w:r>
    </w:p>
    <w:p w14:paraId="3B56A924" w14:textId="77777777" w:rsidR="00794FEC" w:rsidRPr="003C093D" w:rsidRDefault="00794FEC" w:rsidP="00794FEC">
      <w:pPr>
        <w:tabs>
          <w:tab w:val="left" w:pos="720"/>
        </w:tabs>
        <w:spacing w:line="360" w:lineRule="auto"/>
        <w:jc w:val="center"/>
        <w:rPr>
          <w:rFonts w:ascii="Tahoma" w:eastAsiaTheme="minorEastAsia" w:hAnsi="Tahoma" w:cs="Tahoma"/>
          <w:i/>
        </w:rPr>
      </w:pPr>
      <w:r w:rsidRPr="003C093D">
        <w:rPr>
          <w:rFonts w:ascii="Tahoma" w:eastAsiaTheme="minorEastAsia" w:hAnsi="Tahoma" w:cs="Tahoma"/>
          <w:i/>
        </w:rPr>
        <w:t>unde:</w:t>
      </w:r>
    </w:p>
    <w:p w14:paraId="06A39F93" w14:textId="77777777" w:rsidR="00794FEC" w:rsidRPr="003C093D" w:rsidRDefault="00794FEC" w:rsidP="00794FEC">
      <w:pPr>
        <w:pStyle w:val="Listparagraf"/>
        <w:numPr>
          <w:ilvl w:val="0"/>
          <w:numId w:val="15"/>
        </w:numPr>
        <w:tabs>
          <w:tab w:val="left" w:pos="720"/>
        </w:tabs>
        <w:spacing w:line="360" w:lineRule="auto"/>
        <w:rPr>
          <w:rFonts w:ascii="Tahoma" w:eastAsiaTheme="minorEastAsia" w:hAnsi="Tahoma" w:cs="Tahoma"/>
          <w:i/>
        </w:rPr>
      </w:pPr>
      <w:r w:rsidRPr="003C093D">
        <w:rPr>
          <w:rFonts w:ascii="Tahoma" w:eastAsiaTheme="minorEastAsia" w:hAnsi="Tahoma" w:cs="Tahoma"/>
          <w:i/>
        </w:rPr>
        <w:t>N_{goliri} = număr mediu goliri/lună</w:t>
      </w:r>
    </w:p>
    <w:p w14:paraId="4E2D878B" w14:textId="77777777" w:rsidR="00794FEC" w:rsidRPr="003C093D" w:rsidRDefault="00794FEC" w:rsidP="00794FEC">
      <w:pPr>
        <w:pStyle w:val="Listparagraf"/>
        <w:numPr>
          <w:ilvl w:val="3"/>
          <w:numId w:val="13"/>
        </w:numPr>
        <w:tabs>
          <w:tab w:val="left" w:pos="720"/>
        </w:tabs>
        <w:spacing w:line="360" w:lineRule="auto"/>
        <w:rPr>
          <w:rFonts w:ascii="Tahoma" w:eastAsiaTheme="minorEastAsia" w:hAnsi="Tahoma" w:cs="Tahoma"/>
          <w:i/>
        </w:rPr>
      </w:pPr>
      <w:r w:rsidRPr="003C093D">
        <w:rPr>
          <w:rFonts w:ascii="Tahoma" w:eastAsiaTheme="minorEastAsia" w:hAnsi="Tahoma" w:cs="Tahoma"/>
          <w:i/>
        </w:rPr>
        <w:t>V_{găleată} = volum (litri)</w:t>
      </w:r>
    </w:p>
    <w:p w14:paraId="43B5C1BA" w14:textId="77777777" w:rsidR="00794FEC" w:rsidRPr="003C093D" w:rsidRDefault="00794FEC" w:rsidP="00794FEC">
      <w:pPr>
        <w:pStyle w:val="Listparagraf"/>
        <w:numPr>
          <w:ilvl w:val="1"/>
          <w:numId w:val="6"/>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Transformare litri → m³</w:t>
      </w:r>
    </w:p>
    <w:p w14:paraId="2ED5DB6E" w14:textId="77777777" w:rsidR="00794FEC" w:rsidRPr="003C093D" w:rsidRDefault="00794FEC" w:rsidP="00794FEC">
      <w:pPr>
        <w:tabs>
          <w:tab w:val="left" w:pos="720"/>
        </w:tabs>
        <w:spacing w:line="360" w:lineRule="auto"/>
        <w:jc w:val="center"/>
        <w:rPr>
          <w:rFonts w:ascii="Tahoma" w:eastAsiaTheme="minorEastAsia" w:hAnsi="Tahoma" w:cs="Tahoma"/>
          <w:i/>
        </w:rPr>
      </w:pPr>
      <w:r w:rsidRPr="003C093D">
        <w:rPr>
          <w:rFonts w:ascii="Tahoma" w:eastAsiaTheme="minorEastAsia" w:hAnsi="Tahoma" w:cs="Tahoma"/>
          <w:i/>
        </w:rPr>
        <w:t>V_{m³} = \frac{V_{litri}}{1000}</w:t>
      </w:r>
    </w:p>
    <w:p w14:paraId="5D4FE326" w14:textId="77777777" w:rsidR="00794FEC" w:rsidRPr="003C093D" w:rsidRDefault="00794FEC" w:rsidP="00794FEC">
      <w:pPr>
        <w:pStyle w:val="Listparagraf"/>
        <w:numPr>
          <w:ilvl w:val="1"/>
          <w:numId w:val="6"/>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Transformare volum → cantitate</w:t>
      </w:r>
    </w:p>
    <w:p w14:paraId="5CCA20FD" w14:textId="77777777" w:rsidR="00794FEC" w:rsidRPr="003C093D" w:rsidRDefault="00794FEC" w:rsidP="00794FEC">
      <w:pPr>
        <w:tabs>
          <w:tab w:val="left" w:pos="720"/>
        </w:tabs>
        <w:spacing w:line="360" w:lineRule="auto"/>
        <w:jc w:val="center"/>
        <w:rPr>
          <w:rFonts w:ascii="Tahoma" w:eastAsiaTheme="minorEastAsia" w:hAnsi="Tahoma" w:cs="Tahoma"/>
          <w:i/>
        </w:rPr>
      </w:pPr>
      <w:r w:rsidRPr="003C093D">
        <w:rPr>
          <w:rFonts w:ascii="Tahoma" w:eastAsiaTheme="minorEastAsia" w:hAnsi="Tahoma" w:cs="Tahoma"/>
          <w:i/>
        </w:rPr>
        <w:t>Q_{kg} = V_{m³} × 350</w:t>
      </w:r>
    </w:p>
    <w:p w14:paraId="5160713C" w14:textId="77777777" w:rsidR="00794FEC" w:rsidRPr="003C093D" w:rsidRDefault="00794FEC" w:rsidP="00794FEC">
      <w:pPr>
        <w:pStyle w:val="Listparagraf"/>
        <w:numPr>
          <w:ilvl w:val="1"/>
          <w:numId w:val="6"/>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Cantitate anuală UAT</w:t>
      </w:r>
    </w:p>
    <w:p w14:paraId="7BE4F724" w14:textId="77777777" w:rsidR="00794FEC" w:rsidRPr="003C093D" w:rsidRDefault="00794FEC" w:rsidP="00794FEC">
      <w:pPr>
        <w:tabs>
          <w:tab w:val="left" w:pos="720"/>
        </w:tabs>
        <w:spacing w:line="360" w:lineRule="auto"/>
        <w:jc w:val="center"/>
        <w:rPr>
          <w:rFonts w:ascii="Tahoma" w:eastAsiaTheme="minorEastAsia" w:hAnsi="Tahoma" w:cs="Tahoma"/>
          <w:i/>
        </w:rPr>
      </w:pPr>
      <w:r w:rsidRPr="003C093D">
        <w:rPr>
          <w:rFonts w:ascii="Tahoma" w:eastAsiaTheme="minorEastAsia" w:hAnsi="Tahoma" w:cs="Tahoma"/>
          <w:i/>
        </w:rPr>
        <w:t>Q_{UAT} = I.generare/loc x nr. loc. rezidenți</w:t>
      </w:r>
    </w:p>
    <w:p w14:paraId="19EA12F2" w14:textId="77777777" w:rsidR="00794FEC" w:rsidRPr="003C093D" w:rsidRDefault="00794FEC" w:rsidP="00794FEC">
      <w:pPr>
        <w:tabs>
          <w:tab w:val="left" w:pos="720"/>
        </w:tabs>
        <w:spacing w:line="360" w:lineRule="auto"/>
        <w:jc w:val="center"/>
        <w:rPr>
          <w:rFonts w:ascii="Tahoma" w:eastAsiaTheme="minorEastAsia" w:hAnsi="Tahoma" w:cs="Tahoma"/>
          <w:i/>
        </w:rPr>
      </w:pPr>
      <w:r w:rsidRPr="003C093D">
        <w:rPr>
          <w:rFonts w:ascii="Tahoma" w:eastAsiaTheme="minorEastAsia" w:hAnsi="Tahoma" w:cs="Tahoma"/>
          <w:i/>
        </w:rPr>
        <w:t>Unde:</w:t>
      </w:r>
    </w:p>
    <w:p w14:paraId="43E592EC" w14:textId="77777777" w:rsidR="00794FEC" w:rsidRPr="003C093D" w:rsidRDefault="00794FEC" w:rsidP="00794FEC">
      <w:pPr>
        <w:tabs>
          <w:tab w:val="left" w:pos="720"/>
        </w:tabs>
        <w:spacing w:line="360" w:lineRule="auto"/>
        <w:rPr>
          <w:rFonts w:ascii="Tahoma" w:eastAsiaTheme="minorEastAsia" w:hAnsi="Tahoma" w:cs="Tahoma"/>
          <w:i/>
        </w:rPr>
      </w:pPr>
      <w:r w:rsidRPr="003C093D">
        <w:rPr>
          <w:rFonts w:ascii="Tahoma" w:eastAsiaTheme="minorEastAsia" w:hAnsi="Tahoma" w:cs="Tahoma"/>
          <w:i/>
        </w:rPr>
        <w:t>I.generare/loc = indicele de generare a biodeșeurilor, rezultat din procesarea datelor din chestionarele aplicate;</w:t>
      </w:r>
    </w:p>
    <w:p w14:paraId="59424CBD"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Monitorizare și verificare</w:t>
      </w:r>
    </w:p>
    <w:p w14:paraId="5F86C2CE"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lastRenderedPageBreak/>
        <w:t>A.D.I. Deșeuri, prin Corpul de Control, va aplica următoarele mecanisme:</w:t>
      </w:r>
    </w:p>
    <w:p w14:paraId="4FEC3200" w14:textId="77777777" w:rsidR="00794FEC" w:rsidRPr="003C093D" w:rsidRDefault="00794FEC" w:rsidP="00794FEC">
      <w:pPr>
        <w:pStyle w:val="Listparagraf"/>
        <w:numPr>
          <w:ilvl w:val="0"/>
          <w:numId w:val="12"/>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Chestionar;</w:t>
      </w:r>
    </w:p>
    <w:p w14:paraId="334709AF" w14:textId="77777777" w:rsidR="00794FEC" w:rsidRPr="003C093D" w:rsidRDefault="00794FEC" w:rsidP="00794FEC">
      <w:pPr>
        <w:pStyle w:val="Listparagraf"/>
        <w:numPr>
          <w:ilvl w:val="0"/>
          <w:numId w:val="12"/>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Verificări prin sondaj la gospodării;</w:t>
      </w:r>
    </w:p>
    <w:p w14:paraId="474B56B1" w14:textId="77777777" w:rsidR="00794FEC" w:rsidRPr="003C093D" w:rsidRDefault="00794FEC" w:rsidP="00794FEC">
      <w:pPr>
        <w:pStyle w:val="Listparagraf"/>
        <w:numPr>
          <w:ilvl w:val="0"/>
          <w:numId w:val="12"/>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Centralizator anual;</w:t>
      </w:r>
    </w:p>
    <w:p w14:paraId="30498F28"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ab/>
        <w:t>Metodologia de monitorizare respectă principiile de urmărire a procesului de compostare și cantităților obținute la nivel de gospodărie.</w:t>
      </w:r>
    </w:p>
    <w:p w14:paraId="1105B69E" w14:textId="77777777" w:rsidR="00794FEC" w:rsidRPr="003C093D" w:rsidRDefault="00794FEC" w:rsidP="00794FEC">
      <w:pPr>
        <w:pStyle w:val="Listparagraf"/>
        <w:numPr>
          <w:ilvl w:val="0"/>
          <w:numId w:val="6"/>
        </w:numPr>
        <w:tabs>
          <w:tab w:val="left" w:pos="720"/>
        </w:tabs>
        <w:spacing w:line="360" w:lineRule="auto"/>
        <w:jc w:val="both"/>
        <w:rPr>
          <w:rFonts w:ascii="Tahoma" w:eastAsiaTheme="minorEastAsia" w:hAnsi="Tahoma" w:cs="Tahoma"/>
          <w:b/>
          <w:bCs/>
          <w:i/>
        </w:rPr>
      </w:pPr>
      <w:r w:rsidRPr="003C093D">
        <w:rPr>
          <w:rFonts w:ascii="Tahoma" w:eastAsiaTheme="minorEastAsia" w:hAnsi="Tahoma" w:cs="Tahoma"/>
          <w:b/>
          <w:bCs/>
          <w:i/>
        </w:rPr>
        <w:t xml:space="preserve"> Raportare</w:t>
      </w:r>
    </w:p>
    <w:p w14:paraId="233B9102" w14:textId="77777777" w:rsidR="00794FEC" w:rsidRPr="003C093D" w:rsidRDefault="00794FEC" w:rsidP="00794FEC">
      <w:p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Cantitățile determinate se includ în:</w:t>
      </w:r>
    </w:p>
    <w:p w14:paraId="3F36C9C0" w14:textId="77777777" w:rsidR="00794FEC" w:rsidRPr="003C093D" w:rsidRDefault="00794FEC" w:rsidP="00794FEC">
      <w:pPr>
        <w:pStyle w:val="Listparagraf"/>
        <w:numPr>
          <w:ilvl w:val="0"/>
          <w:numId w:val="14"/>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raportarea anuală de mediu;</w:t>
      </w:r>
    </w:p>
    <w:p w14:paraId="33E6A44A" w14:textId="77777777" w:rsidR="00794FEC" w:rsidRPr="003C093D" w:rsidRDefault="00794FEC" w:rsidP="00794FEC">
      <w:pPr>
        <w:pStyle w:val="Listparagraf"/>
        <w:numPr>
          <w:ilvl w:val="0"/>
          <w:numId w:val="14"/>
        </w:numPr>
        <w:tabs>
          <w:tab w:val="left" w:pos="720"/>
        </w:tabs>
        <w:spacing w:line="360" w:lineRule="auto"/>
        <w:jc w:val="both"/>
        <w:rPr>
          <w:rFonts w:ascii="Tahoma" w:eastAsiaTheme="minorEastAsia" w:hAnsi="Tahoma" w:cs="Tahoma"/>
          <w:i/>
        </w:rPr>
      </w:pPr>
      <w:r w:rsidRPr="003C093D">
        <w:rPr>
          <w:rFonts w:ascii="Tahoma" w:eastAsiaTheme="minorEastAsia" w:hAnsi="Tahoma" w:cs="Tahoma"/>
          <w:i/>
        </w:rPr>
        <w:t>calcul și raportarea cantităților de biodeșeuri deviate de la depozitare prin compostare individuală;</w:t>
      </w:r>
    </w:p>
    <w:p w14:paraId="3239870C" w14:textId="77777777" w:rsidR="00794FEC" w:rsidRPr="003C093D" w:rsidRDefault="00794FEC" w:rsidP="00794FEC">
      <w:pPr>
        <w:tabs>
          <w:tab w:val="left" w:pos="720"/>
        </w:tabs>
        <w:jc w:val="both"/>
        <w:rPr>
          <w:rFonts w:ascii="Tahoma" w:eastAsiaTheme="minorEastAsia" w:hAnsi="Tahoma" w:cs="Tahoma"/>
          <w:i/>
        </w:rPr>
      </w:pPr>
      <w:r w:rsidRPr="003C093D">
        <w:rPr>
          <w:rFonts w:ascii="Tahoma" w:eastAsiaTheme="minorEastAsia" w:hAnsi="Tahoma" w:cs="Tahoma"/>
          <w:i/>
        </w:rPr>
        <w:t>Model Chestionar:</w:t>
      </w:r>
      <w:r w:rsidRPr="003C093D">
        <w:rPr>
          <w:rFonts w:ascii="Tahoma" w:eastAsiaTheme="minorEastAsia" w:hAnsi="Tahoma" w:cs="Tahoma"/>
          <w:i/>
        </w:rPr>
        <w:tab/>
      </w:r>
      <w:r w:rsidRPr="003C093D">
        <w:rPr>
          <w:rFonts w:ascii="Tahoma" w:eastAsiaTheme="minorEastAsia" w:hAnsi="Tahoma" w:cs="Tahoma"/>
          <w:i/>
        </w:rPr>
        <w:tab/>
      </w:r>
      <w:r w:rsidRPr="003C093D">
        <w:rPr>
          <w:rFonts w:ascii="Tahoma" w:eastAsiaTheme="minorEastAsia" w:hAnsi="Tahoma" w:cs="Tahoma"/>
          <w:i/>
        </w:rPr>
        <w:tab/>
      </w:r>
      <w:r w:rsidRPr="003C093D">
        <w:rPr>
          <w:rFonts w:ascii="Tahoma" w:eastAsiaTheme="minorEastAsia" w:hAnsi="Tahoma" w:cs="Tahoma"/>
          <w:i/>
        </w:rPr>
        <w:tab/>
      </w:r>
      <w:r w:rsidRPr="003C093D">
        <w:rPr>
          <w:rFonts w:ascii="Tahoma" w:eastAsiaTheme="minorEastAsia" w:hAnsi="Tahoma" w:cs="Tahoma"/>
          <w:i/>
        </w:rPr>
        <w:tab/>
      </w:r>
      <w:r w:rsidRPr="003C093D">
        <w:rPr>
          <w:rFonts w:ascii="Tahoma" w:eastAsiaTheme="minorEastAsia" w:hAnsi="Tahoma" w:cs="Tahoma"/>
          <w:i/>
        </w:rPr>
        <w:tab/>
      </w:r>
      <w:r w:rsidRPr="003C093D">
        <w:rPr>
          <w:rFonts w:ascii="Tahoma" w:eastAsiaTheme="minorEastAsia" w:hAnsi="Tahoma" w:cs="Tahoma"/>
          <w:i/>
        </w:rPr>
        <w:tab/>
      </w:r>
    </w:p>
    <w:p w14:paraId="63FE9ADE" w14:textId="77777777" w:rsidR="00794FEC" w:rsidRPr="003C093D" w:rsidRDefault="00794FEC" w:rsidP="00794FEC">
      <w:pPr>
        <w:tabs>
          <w:tab w:val="left" w:pos="720"/>
        </w:tabs>
        <w:jc w:val="both"/>
        <w:rPr>
          <w:rFonts w:ascii="Tahoma" w:eastAsiaTheme="minorEastAsia" w:hAnsi="Tahoma" w:cs="Tahoma"/>
          <w:i/>
        </w:rPr>
      </w:pPr>
    </w:p>
    <w:p w14:paraId="398829BD" w14:textId="77777777" w:rsidR="00794FEC" w:rsidRPr="003C093D" w:rsidRDefault="00794FEC" w:rsidP="00794FEC">
      <w:pPr>
        <w:tabs>
          <w:tab w:val="left" w:pos="720"/>
        </w:tabs>
        <w:jc w:val="center"/>
        <w:rPr>
          <w:rFonts w:ascii="Tahoma" w:eastAsiaTheme="minorEastAsia" w:hAnsi="Tahoma" w:cs="Tahoma"/>
          <w:b/>
          <w:bCs/>
          <w:i/>
        </w:rPr>
      </w:pPr>
      <w:r w:rsidRPr="003C093D">
        <w:rPr>
          <w:rFonts w:ascii="Tahoma" w:eastAsiaTheme="minorEastAsia" w:hAnsi="Tahoma" w:cs="Tahoma"/>
          <w:b/>
          <w:bCs/>
          <w:i/>
        </w:rPr>
        <w:t>CHESTIONAR PRIVIND MONITORIZAREA ȘI DETERMINARE CANTITĂȚILOR DE BIODEȘEURI COMPOSTATE INDIVIDUAL</w:t>
      </w:r>
    </w:p>
    <w:p w14:paraId="37B61180" w14:textId="77777777" w:rsidR="00794FEC" w:rsidRPr="003C093D" w:rsidRDefault="00794FEC" w:rsidP="00794FEC">
      <w:pPr>
        <w:tabs>
          <w:tab w:val="left" w:pos="720"/>
        </w:tabs>
        <w:jc w:val="both"/>
        <w:rPr>
          <w:rFonts w:ascii="Tahoma" w:eastAsiaTheme="minorEastAsia" w:hAnsi="Tahoma" w:cs="Tahoma"/>
          <w:b/>
          <w:bCs/>
          <w:i/>
        </w:rPr>
      </w:pPr>
      <w:r w:rsidRPr="003C093D">
        <w:rPr>
          <w:rFonts w:ascii="Tahoma" w:eastAsiaTheme="minorEastAsia" w:hAnsi="Tahoma" w:cs="Tahoma"/>
          <w:b/>
          <w:bCs/>
          <w:i/>
        </w:rPr>
        <w:t>U.A.T.______________</w:t>
      </w:r>
    </w:p>
    <w:p w14:paraId="5ECA2D2C" w14:textId="77777777" w:rsidR="00794FEC" w:rsidRPr="003C093D" w:rsidRDefault="00794FEC" w:rsidP="00794FEC">
      <w:pPr>
        <w:tabs>
          <w:tab w:val="left" w:pos="720"/>
        </w:tabs>
        <w:jc w:val="both"/>
        <w:rPr>
          <w:rFonts w:ascii="Tahoma" w:eastAsiaTheme="minorEastAsia" w:hAnsi="Tahoma" w:cs="Tahoma"/>
          <w:b/>
          <w:bCs/>
          <w:i/>
        </w:rPr>
      </w:pPr>
      <w:r w:rsidRPr="003C093D">
        <w:rPr>
          <w:rFonts w:ascii="Tahoma" w:eastAsiaTheme="minorEastAsia" w:hAnsi="Tahoma" w:cs="Tahoma"/>
          <w:b/>
          <w:bCs/>
          <w:i/>
        </w:rPr>
        <w:t>NUME ȘI PRENUME_____________________</w:t>
      </w:r>
    </w:p>
    <w:p w14:paraId="0D33CA61" w14:textId="77777777" w:rsidR="00794FEC" w:rsidRPr="003C093D" w:rsidRDefault="00794FEC" w:rsidP="00794FEC">
      <w:pPr>
        <w:tabs>
          <w:tab w:val="left" w:pos="720"/>
        </w:tabs>
        <w:jc w:val="both"/>
        <w:rPr>
          <w:rFonts w:ascii="Tahoma" w:eastAsiaTheme="minorEastAsia" w:hAnsi="Tahoma" w:cs="Tahoma"/>
          <w:b/>
          <w:bCs/>
          <w:i/>
        </w:rPr>
      </w:pPr>
      <w:r w:rsidRPr="003C093D">
        <w:rPr>
          <w:rFonts w:ascii="Tahoma" w:eastAsiaTheme="minorEastAsia" w:hAnsi="Tahoma" w:cs="Tahoma"/>
          <w:b/>
          <w:bCs/>
          <w:i/>
        </w:rPr>
        <w:t>ADRESA____________________</w:t>
      </w:r>
    </w:p>
    <w:p w14:paraId="16E7931A" w14:textId="77777777" w:rsidR="00794FEC" w:rsidRPr="003C093D" w:rsidRDefault="00794FEC" w:rsidP="00794FEC">
      <w:pPr>
        <w:pStyle w:val="Listparagraf"/>
        <w:numPr>
          <w:ilvl w:val="0"/>
          <w:numId w:val="16"/>
        </w:numPr>
        <w:tabs>
          <w:tab w:val="left" w:pos="720"/>
        </w:tabs>
        <w:spacing w:line="276" w:lineRule="auto"/>
        <w:jc w:val="both"/>
        <w:rPr>
          <w:rFonts w:ascii="Tahoma" w:eastAsiaTheme="minorEastAsia" w:hAnsi="Tahoma" w:cs="Tahoma"/>
          <w:b/>
          <w:bCs/>
          <w:i/>
        </w:rPr>
      </w:pPr>
      <w:r w:rsidRPr="003C093D">
        <w:rPr>
          <w:rFonts w:ascii="Tahoma" w:eastAsiaTheme="minorEastAsia" w:hAnsi="Tahoma" w:cs="Tahoma"/>
          <w:b/>
          <w:bCs/>
          <w:i/>
        </w:rPr>
        <w:t>Care este numărul de persoane din gospodăria dumneavoastră?</w:t>
      </w:r>
    </w:p>
    <w:p w14:paraId="4D031833" w14:textId="77777777" w:rsidR="00794FEC" w:rsidRPr="003C093D" w:rsidRDefault="00794FEC" w:rsidP="00794FEC">
      <w:pPr>
        <w:tabs>
          <w:tab w:val="left" w:pos="720"/>
        </w:tabs>
        <w:ind w:left="360"/>
        <w:jc w:val="both"/>
        <w:rPr>
          <w:rFonts w:ascii="Tahoma" w:eastAsiaTheme="minorEastAsia" w:hAnsi="Tahoma" w:cs="Tahoma"/>
          <w:b/>
          <w:bCs/>
          <w:i/>
        </w:rPr>
      </w:pPr>
      <w:r w:rsidRPr="003C093D">
        <w:rPr>
          <w:rFonts w:ascii="Tahoma" w:eastAsiaTheme="minorEastAsia" w:hAnsi="Tahoma" w:cs="Tahoma"/>
          <w:b/>
          <w:bCs/>
          <w:i/>
        </w:rPr>
        <w:t xml:space="preserve">     ___________________________________________________</w:t>
      </w:r>
    </w:p>
    <w:p w14:paraId="0AC42882" w14:textId="77777777" w:rsidR="00794FEC" w:rsidRPr="003C093D" w:rsidRDefault="00794FEC" w:rsidP="00794FEC">
      <w:pPr>
        <w:pStyle w:val="Listparagraf"/>
        <w:numPr>
          <w:ilvl w:val="0"/>
          <w:numId w:val="16"/>
        </w:numPr>
        <w:tabs>
          <w:tab w:val="left" w:pos="720"/>
        </w:tabs>
        <w:spacing w:line="276" w:lineRule="auto"/>
        <w:jc w:val="both"/>
        <w:rPr>
          <w:rFonts w:ascii="Tahoma" w:eastAsiaTheme="minorEastAsia" w:hAnsi="Tahoma" w:cs="Tahoma"/>
          <w:b/>
          <w:bCs/>
          <w:i/>
        </w:rPr>
      </w:pPr>
      <w:r w:rsidRPr="003C093D">
        <w:rPr>
          <w:rFonts w:ascii="Tahoma" w:eastAsiaTheme="minorEastAsia" w:hAnsi="Tahoma" w:cs="Tahoma"/>
          <w:b/>
          <w:bCs/>
          <w:i/>
        </w:rPr>
        <w:t xml:space="preserve">Cum gestionați deșeurile biodegradabile în gospodărie? </w:t>
      </w:r>
      <w:r w:rsidRPr="003C093D">
        <w:rPr>
          <w:rFonts w:ascii="Tahoma" w:eastAsiaTheme="minorEastAsia" w:hAnsi="Tahoma" w:cs="Tahoma"/>
          <w:i/>
        </w:rPr>
        <w:t>(bifați varianta corespunzătoare)</w:t>
      </w:r>
    </w:p>
    <w:p w14:paraId="2252BDBF" w14:textId="77777777" w:rsidR="00794FEC" w:rsidRPr="003C093D" w:rsidRDefault="00794FEC" w:rsidP="00794FEC">
      <w:pPr>
        <w:pStyle w:val="Listparagraf"/>
        <w:numPr>
          <w:ilvl w:val="0"/>
          <w:numId w:val="17"/>
        </w:numPr>
        <w:tabs>
          <w:tab w:val="left" w:pos="720"/>
        </w:tabs>
        <w:spacing w:line="276" w:lineRule="auto"/>
        <w:jc w:val="both"/>
        <w:rPr>
          <w:rFonts w:ascii="Tahoma" w:eastAsiaTheme="minorEastAsia" w:hAnsi="Tahoma" w:cs="Tahoma"/>
          <w:b/>
          <w:bCs/>
          <w:i/>
        </w:rPr>
      </w:pPr>
      <w:r w:rsidRPr="003C093D">
        <w:rPr>
          <w:rFonts w:ascii="Tahoma" w:eastAsiaTheme="minorEastAsia" w:hAnsi="Tahoma" w:cs="Tahoma"/>
          <w:i/>
        </w:rPr>
        <w:t>Compostez în gramadă (direct pe sol, fără recipient);</w:t>
      </w:r>
    </w:p>
    <w:p w14:paraId="5B461CE8" w14:textId="77777777" w:rsidR="00794FEC" w:rsidRPr="003C093D" w:rsidRDefault="00794FEC" w:rsidP="00794FEC">
      <w:pPr>
        <w:pStyle w:val="Listparagraf"/>
        <w:numPr>
          <w:ilvl w:val="0"/>
          <w:numId w:val="17"/>
        </w:numPr>
        <w:tabs>
          <w:tab w:val="left" w:pos="720"/>
        </w:tabs>
        <w:spacing w:line="276" w:lineRule="auto"/>
        <w:jc w:val="both"/>
        <w:rPr>
          <w:rFonts w:ascii="Tahoma" w:eastAsiaTheme="minorEastAsia" w:hAnsi="Tahoma" w:cs="Tahoma"/>
          <w:b/>
          <w:bCs/>
          <w:i/>
        </w:rPr>
      </w:pPr>
      <w:r w:rsidRPr="003C093D">
        <w:rPr>
          <w:rFonts w:ascii="Tahoma" w:eastAsiaTheme="minorEastAsia" w:hAnsi="Tahoma" w:cs="Tahoma"/>
          <w:i/>
        </w:rPr>
        <w:t>Folosesc un compostor / ladă / recipient special pentru compost.</w:t>
      </w:r>
    </w:p>
    <w:p w14:paraId="2BCFC5ED" w14:textId="77777777" w:rsidR="00794FEC" w:rsidRPr="003C093D" w:rsidRDefault="00794FEC" w:rsidP="00794FEC">
      <w:pPr>
        <w:pStyle w:val="Listparagraf"/>
        <w:numPr>
          <w:ilvl w:val="0"/>
          <w:numId w:val="16"/>
        </w:numPr>
        <w:tabs>
          <w:tab w:val="left" w:pos="720"/>
        </w:tabs>
        <w:spacing w:line="276" w:lineRule="auto"/>
        <w:jc w:val="both"/>
        <w:rPr>
          <w:rFonts w:ascii="Tahoma" w:eastAsiaTheme="minorEastAsia" w:hAnsi="Tahoma" w:cs="Tahoma"/>
          <w:b/>
          <w:bCs/>
          <w:i/>
        </w:rPr>
      </w:pPr>
      <w:r w:rsidRPr="003C093D">
        <w:rPr>
          <w:rFonts w:ascii="Tahoma" w:eastAsiaTheme="minorEastAsia" w:hAnsi="Tahoma" w:cs="Tahoma"/>
          <w:b/>
          <w:bCs/>
          <w:i/>
        </w:rPr>
        <w:t>Cât de des introduceți biodeșeuri în unitatea de compostare individuală (grămadă de compost sau gunoi/compostor)?</w:t>
      </w:r>
    </w:p>
    <w:p w14:paraId="5CE8E02D" w14:textId="77777777" w:rsidR="00794FEC" w:rsidRPr="003C093D" w:rsidRDefault="00794FEC" w:rsidP="00794FEC">
      <w:pPr>
        <w:pStyle w:val="Listparagraf"/>
        <w:numPr>
          <w:ilvl w:val="0"/>
          <w:numId w:val="18"/>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Zilnic;</w:t>
      </w:r>
    </w:p>
    <w:p w14:paraId="6CECF856" w14:textId="77777777" w:rsidR="00794FEC" w:rsidRPr="003C093D" w:rsidRDefault="00794FEC" w:rsidP="00794FEC">
      <w:pPr>
        <w:pStyle w:val="Listparagraf"/>
        <w:numPr>
          <w:ilvl w:val="0"/>
          <w:numId w:val="18"/>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O dată pe saptămână;</w:t>
      </w:r>
    </w:p>
    <w:p w14:paraId="59FFDAD9" w14:textId="77777777" w:rsidR="00794FEC" w:rsidRPr="003C093D" w:rsidRDefault="00794FEC" w:rsidP="00794FEC">
      <w:pPr>
        <w:pStyle w:val="Listparagraf"/>
        <w:numPr>
          <w:ilvl w:val="0"/>
          <w:numId w:val="18"/>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O dată pe lună;</w:t>
      </w:r>
    </w:p>
    <w:p w14:paraId="477BAE58" w14:textId="77777777" w:rsidR="00794FEC" w:rsidRPr="003C093D" w:rsidRDefault="00794FEC" w:rsidP="00794FEC">
      <w:pPr>
        <w:pStyle w:val="Listparagraf"/>
        <w:numPr>
          <w:ilvl w:val="0"/>
          <w:numId w:val="18"/>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Altă variantă ___________ .</w:t>
      </w:r>
    </w:p>
    <w:p w14:paraId="6EDC34F1" w14:textId="77777777" w:rsidR="00794FEC" w:rsidRPr="003C093D" w:rsidRDefault="00794FEC" w:rsidP="00794FEC">
      <w:pPr>
        <w:pStyle w:val="Listparagraf"/>
        <w:numPr>
          <w:ilvl w:val="0"/>
          <w:numId w:val="16"/>
        </w:numPr>
        <w:tabs>
          <w:tab w:val="left" w:pos="720"/>
        </w:tabs>
        <w:spacing w:line="276" w:lineRule="auto"/>
        <w:jc w:val="both"/>
        <w:rPr>
          <w:rFonts w:ascii="Tahoma" w:eastAsiaTheme="minorEastAsia" w:hAnsi="Tahoma" w:cs="Tahoma"/>
          <w:i/>
        </w:rPr>
      </w:pPr>
      <w:r w:rsidRPr="003C093D">
        <w:rPr>
          <w:rFonts w:ascii="Tahoma" w:eastAsiaTheme="minorEastAsia" w:hAnsi="Tahoma" w:cs="Tahoma"/>
          <w:b/>
          <w:bCs/>
          <w:i/>
        </w:rPr>
        <w:t xml:space="preserve">Care este volumul recipientului </w:t>
      </w:r>
      <w:r w:rsidRPr="003C093D">
        <w:rPr>
          <w:rFonts w:ascii="Tahoma" w:eastAsiaTheme="minorEastAsia" w:hAnsi="Tahoma" w:cs="Tahoma"/>
          <w:i/>
        </w:rPr>
        <w:t>(galeată)</w:t>
      </w:r>
      <w:r w:rsidRPr="003C093D">
        <w:rPr>
          <w:rFonts w:ascii="Tahoma" w:eastAsiaTheme="minorEastAsia" w:hAnsi="Tahoma" w:cs="Tahoma"/>
          <w:b/>
          <w:bCs/>
          <w:i/>
        </w:rPr>
        <w:t xml:space="preserve"> utilizat pentru transportul biodeșeurilor către grămadă de compost/gunoi?</w:t>
      </w:r>
    </w:p>
    <w:p w14:paraId="10E7ECA0" w14:textId="77777777" w:rsidR="00794FEC" w:rsidRPr="003C093D" w:rsidRDefault="00794FEC" w:rsidP="00794FEC">
      <w:pPr>
        <w:pStyle w:val="Listparagraf"/>
        <w:numPr>
          <w:ilvl w:val="0"/>
          <w:numId w:val="19"/>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10 litri;</w:t>
      </w:r>
    </w:p>
    <w:p w14:paraId="2C6D7F55" w14:textId="77777777" w:rsidR="00794FEC" w:rsidRPr="003C093D" w:rsidRDefault="00794FEC" w:rsidP="00794FEC">
      <w:pPr>
        <w:pStyle w:val="Listparagraf"/>
        <w:numPr>
          <w:ilvl w:val="0"/>
          <w:numId w:val="19"/>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15 litri;</w:t>
      </w:r>
    </w:p>
    <w:p w14:paraId="7FBAA51C" w14:textId="77777777" w:rsidR="00794FEC" w:rsidRPr="003C093D" w:rsidRDefault="00794FEC" w:rsidP="00794FEC">
      <w:pPr>
        <w:pStyle w:val="Listparagraf"/>
        <w:numPr>
          <w:ilvl w:val="0"/>
          <w:numId w:val="19"/>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20 litri;</w:t>
      </w:r>
    </w:p>
    <w:p w14:paraId="365D1D15" w14:textId="77777777" w:rsidR="00794FEC" w:rsidRPr="003C093D" w:rsidRDefault="00794FEC" w:rsidP="00794FEC">
      <w:pPr>
        <w:pStyle w:val="Listparagraf"/>
        <w:numPr>
          <w:ilvl w:val="0"/>
          <w:numId w:val="19"/>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Altă variantă ________ .</w:t>
      </w:r>
    </w:p>
    <w:p w14:paraId="2D31767D" w14:textId="77777777" w:rsidR="00794FEC" w:rsidRPr="003C093D" w:rsidRDefault="00794FEC" w:rsidP="00794FEC">
      <w:pPr>
        <w:pStyle w:val="Listparagraf"/>
        <w:numPr>
          <w:ilvl w:val="0"/>
          <w:numId w:val="16"/>
        </w:numPr>
        <w:tabs>
          <w:tab w:val="left" w:pos="720"/>
        </w:tabs>
        <w:spacing w:line="276" w:lineRule="auto"/>
        <w:jc w:val="both"/>
        <w:rPr>
          <w:rFonts w:ascii="Tahoma" w:eastAsiaTheme="minorEastAsia" w:hAnsi="Tahoma" w:cs="Tahoma"/>
          <w:b/>
          <w:bCs/>
          <w:i/>
        </w:rPr>
      </w:pPr>
      <w:r w:rsidRPr="003C093D">
        <w:rPr>
          <w:rFonts w:ascii="Tahoma" w:eastAsiaTheme="minorEastAsia" w:hAnsi="Tahoma" w:cs="Tahoma"/>
          <w:b/>
          <w:bCs/>
          <w:i/>
        </w:rPr>
        <w:t>Care este principalul motiv pentru care compostați?</w:t>
      </w:r>
    </w:p>
    <w:p w14:paraId="5D9B544D" w14:textId="77777777" w:rsidR="00794FEC" w:rsidRPr="003C093D" w:rsidRDefault="00794FEC" w:rsidP="00794FEC">
      <w:pPr>
        <w:pStyle w:val="Listparagraf"/>
        <w:numPr>
          <w:ilvl w:val="0"/>
          <w:numId w:val="20"/>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Reducerea cantității de deșeuri;</w:t>
      </w:r>
    </w:p>
    <w:p w14:paraId="2AFE0556" w14:textId="77777777" w:rsidR="00794FEC" w:rsidRPr="003C093D" w:rsidRDefault="00794FEC" w:rsidP="00794FEC">
      <w:pPr>
        <w:pStyle w:val="Listparagraf"/>
        <w:numPr>
          <w:ilvl w:val="0"/>
          <w:numId w:val="20"/>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Obținerea de compost pentru grădină;</w:t>
      </w:r>
    </w:p>
    <w:p w14:paraId="6E1F7547" w14:textId="77777777" w:rsidR="00794FEC" w:rsidRPr="003C093D" w:rsidRDefault="00794FEC" w:rsidP="00794FEC">
      <w:pPr>
        <w:pStyle w:val="Listparagraf"/>
        <w:numPr>
          <w:ilvl w:val="0"/>
          <w:numId w:val="20"/>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Motive ecologice;</w:t>
      </w:r>
    </w:p>
    <w:p w14:paraId="47E3181C" w14:textId="77777777" w:rsidR="00794FEC" w:rsidRPr="003C093D" w:rsidRDefault="00794FEC" w:rsidP="00794FEC">
      <w:pPr>
        <w:pStyle w:val="Listparagraf"/>
        <w:numPr>
          <w:ilvl w:val="0"/>
          <w:numId w:val="20"/>
        </w:numPr>
        <w:tabs>
          <w:tab w:val="left" w:pos="720"/>
        </w:tabs>
        <w:spacing w:line="276" w:lineRule="auto"/>
        <w:jc w:val="both"/>
        <w:rPr>
          <w:rFonts w:ascii="Tahoma" w:eastAsiaTheme="minorEastAsia" w:hAnsi="Tahoma" w:cs="Tahoma"/>
          <w:i/>
        </w:rPr>
      </w:pPr>
      <w:r w:rsidRPr="003C093D">
        <w:rPr>
          <w:rFonts w:ascii="Tahoma" w:eastAsiaTheme="minorEastAsia" w:hAnsi="Tahoma" w:cs="Tahoma"/>
          <w:i/>
        </w:rPr>
        <w:t>Economii financiare.</w:t>
      </w:r>
    </w:p>
    <w:p w14:paraId="6E20B2A0" w14:textId="77777777" w:rsidR="00794FEC" w:rsidRPr="003C093D" w:rsidRDefault="00794FEC" w:rsidP="00794FEC">
      <w:pPr>
        <w:tabs>
          <w:tab w:val="left" w:pos="720"/>
        </w:tabs>
        <w:jc w:val="both"/>
        <w:rPr>
          <w:rFonts w:ascii="Tahoma" w:eastAsiaTheme="minorEastAsia" w:hAnsi="Tahoma" w:cs="Tahoma"/>
          <w:i/>
        </w:rPr>
      </w:pPr>
      <w:r w:rsidRPr="003C093D">
        <w:rPr>
          <w:rFonts w:ascii="Tahoma" w:eastAsiaTheme="minorEastAsia" w:hAnsi="Tahoma" w:cs="Tahoma"/>
          <w:b/>
          <w:bCs/>
          <w:i/>
        </w:rPr>
        <w:t>Data____________</w:t>
      </w:r>
      <w:r w:rsidRPr="003C093D">
        <w:rPr>
          <w:rFonts w:ascii="Tahoma" w:eastAsiaTheme="minorEastAsia" w:hAnsi="Tahoma" w:cs="Tahoma"/>
          <w:b/>
          <w:bCs/>
          <w:i/>
        </w:rPr>
        <w:tab/>
      </w:r>
      <w:r w:rsidRPr="003C093D">
        <w:rPr>
          <w:rFonts w:ascii="Tahoma" w:eastAsiaTheme="minorEastAsia" w:hAnsi="Tahoma" w:cs="Tahoma"/>
          <w:b/>
          <w:bCs/>
          <w:i/>
        </w:rPr>
        <w:tab/>
      </w:r>
      <w:r w:rsidRPr="003C093D">
        <w:rPr>
          <w:rFonts w:ascii="Tahoma" w:eastAsiaTheme="minorEastAsia" w:hAnsi="Tahoma" w:cs="Tahoma"/>
          <w:b/>
          <w:bCs/>
          <w:i/>
        </w:rPr>
        <w:tab/>
      </w:r>
      <w:r w:rsidRPr="003C093D">
        <w:rPr>
          <w:rFonts w:ascii="Tahoma" w:eastAsiaTheme="minorEastAsia" w:hAnsi="Tahoma" w:cs="Tahoma"/>
          <w:b/>
          <w:bCs/>
          <w:i/>
        </w:rPr>
        <w:tab/>
      </w:r>
      <w:r w:rsidRPr="003C093D">
        <w:rPr>
          <w:rFonts w:ascii="Tahoma" w:eastAsiaTheme="minorEastAsia" w:hAnsi="Tahoma" w:cs="Tahoma"/>
          <w:b/>
          <w:bCs/>
          <w:i/>
        </w:rPr>
        <w:tab/>
      </w:r>
      <w:r w:rsidRPr="003C093D">
        <w:rPr>
          <w:rFonts w:ascii="Tahoma" w:eastAsiaTheme="minorEastAsia" w:hAnsi="Tahoma" w:cs="Tahoma"/>
          <w:b/>
          <w:bCs/>
          <w:i/>
        </w:rPr>
        <w:tab/>
        <w:t>Semnătura</w:t>
      </w:r>
      <w:r w:rsidRPr="003C093D">
        <w:rPr>
          <w:rFonts w:ascii="Tahoma" w:eastAsiaTheme="minorEastAsia" w:hAnsi="Tahoma" w:cs="Tahoma"/>
          <w:i/>
        </w:rPr>
        <w:t>_____________</w:t>
      </w:r>
      <w:r>
        <w:rPr>
          <w:rFonts w:ascii="Tahoma" w:eastAsiaTheme="minorEastAsia" w:hAnsi="Tahoma" w:cs="Tahoma"/>
          <w:i/>
        </w:rPr>
        <w:t>”</w:t>
      </w:r>
    </w:p>
    <w:p w14:paraId="777196C3" w14:textId="77777777" w:rsidR="00794FEC" w:rsidRPr="00670A49" w:rsidRDefault="00794FEC" w:rsidP="00794FEC">
      <w:pPr>
        <w:spacing w:after="160" w:line="267" w:lineRule="auto"/>
        <w:contextualSpacing/>
        <w:jc w:val="both"/>
        <w:rPr>
          <w:rFonts w:ascii="Tahoma" w:eastAsia="Times New Roman" w:hAnsi="Tahoma" w:cs="Tahoma"/>
          <w:b/>
          <w:i/>
          <w:sz w:val="24"/>
          <w:szCs w:val="24"/>
        </w:rPr>
      </w:pPr>
    </w:p>
    <w:p w14:paraId="5BB1B3BE" w14:textId="77777777" w:rsidR="00794FEC" w:rsidRPr="00700A78" w:rsidRDefault="00794FEC" w:rsidP="00794FEC">
      <w:pPr>
        <w:spacing w:after="160" w:line="267" w:lineRule="auto"/>
        <w:contextualSpacing/>
        <w:jc w:val="both"/>
        <w:rPr>
          <w:rFonts w:ascii="Tahoma" w:eastAsia="Times New Roman" w:hAnsi="Tahoma" w:cs="Tahoma"/>
          <w:i/>
          <w:sz w:val="24"/>
          <w:szCs w:val="24"/>
        </w:rPr>
      </w:pPr>
    </w:p>
    <w:p w14:paraId="4B49786F" w14:textId="77777777" w:rsidR="00794FEC" w:rsidRDefault="00794FEC" w:rsidP="00794FEC">
      <w:pPr>
        <w:spacing w:after="160" w:line="267" w:lineRule="auto"/>
        <w:contextualSpacing/>
        <w:jc w:val="both"/>
        <w:rPr>
          <w:rFonts w:ascii="Tahoma" w:eastAsia="Times New Roman" w:hAnsi="Tahoma" w:cs="Tahoma"/>
          <w:b/>
          <w:sz w:val="24"/>
          <w:szCs w:val="24"/>
        </w:rPr>
      </w:pPr>
      <w:r>
        <w:rPr>
          <w:rFonts w:ascii="Tahoma" w:eastAsia="Times New Roman" w:hAnsi="Tahoma" w:cs="Tahoma"/>
          <w:b/>
          <w:sz w:val="24"/>
          <w:szCs w:val="24"/>
        </w:rPr>
        <w:t>Art. 19</w:t>
      </w:r>
      <w:r w:rsidRPr="006A6009">
        <w:rPr>
          <w:rFonts w:ascii="Tahoma" w:eastAsia="Times New Roman" w:hAnsi="Tahoma" w:cs="Tahoma"/>
          <w:b/>
          <w:sz w:val="24"/>
          <w:szCs w:val="24"/>
        </w:rPr>
        <w:t>. Celelalte Anexe ale Regulamentului de salubrizare rămân nemodificate.</w:t>
      </w:r>
    </w:p>
    <w:p w14:paraId="5C9E1031" w14:textId="77777777" w:rsidR="00794FEC" w:rsidRDefault="00794FEC" w:rsidP="00794FEC">
      <w:pPr>
        <w:spacing w:after="160" w:line="267" w:lineRule="auto"/>
        <w:contextualSpacing/>
        <w:jc w:val="both"/>
        <w:rPr>
          <w:rFonts w:ascii="Tahoma" w:eastAsia="Times New Roman" w:hAnsi="Tahoma" w:cs="Tahoma"/>
          <w:b/>
          <w:sz w:val="24"/>
          <w:szCs w:val="24"/>
        </w:rPr>
      </w:pPr>
    </w:p>
    <w:p w14:paraId="2431B761" w14:textId="081E76E7" w:rsidR="007A1163" w:rsidRPr="00C41484" w:rsidRDefault="007A1163" w:rsidP="007A1163">
      <w:pPr>
        <w:spacing w:after="160" w:line="267" w:lineRule="auto"/>
        <w:contextualSpacing/>
        <w:jc w:val="center"/>
        <w:rPr>
          <w:rFonts w:ascii="Tahoma" w:eastAsia="Times New Roman" w:hAnsi="Tahoma" w:cs="Tahoma"/>
          <w:bCs/>
          <w:sz w:val="24"/>
          <w:szCs w:val="24"/>
        </w:rPr>
      </w:pPr>
      <w:r w:rsidRPr="00C41484">
        <w:rPr>
          <w:rFonts w:ascii="Tahoma" w:eastAsia="Times New Roman" w:hAnsi="Tahoma" w:cs="Tahoma"/>
          <w:bCs/>
          <w:sz w:val="24"/>
          <w:szCs w:val="24"/>
        </w:rPr>
        <w:t>ooo000ooo</w:t>
      </w:r>
    </w:p>
    <w:p w14:paraId="3A25E61B" w14:textId="77777777" w:rsidR="007678D0" w:rsidRDefault="007678D0" w:rsidP="007678D0">
      <w:pPr>
        <w:jc w:val="right"/>
      </w:pPr>
    </w:p>
    <w:sectPr w:rsidR="007678D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889E9" w14:textId="77777777" w:rsidR="00240A7B" w:rsidRDefault="00240A7B" w:rsidP="00D95FE7">
      <w:r>
        <w:separator/>
      </w:r>
    </w:p>
  </w:endnote>
  <w:endnote w:type="continuationSeparator" w:id="0">
    <w:p w14:paraId="27B549C8" w14:textId="77777777" w:rsidR="00240A7B" w:rsidRDefault="00240A7B" w:rsidP="00D9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754308"/>
      <w:docPartObj>
        <w:docPartGallery w:val="Page Numbers (Bottom of Page)"/>
        <w:docPartUnique/>
      </w:docPartObj>
    </w:sdtPr>
    <w:sdtContent>
      <w:p w14:paraId="257D5801" w14:textId="5C2DFDCA" w:rsidR="00D95FE7" w:rsidRDefault="00D95FE7">
        <w:pPr>
          <w:pStyle w:val="Subsol"/>
          <w:jc w:val="center"/>
        </w:pPr>
        <w:r>
          <w:fldChar w:fldCharType="begin"/>
        </w:r>
        <w:r>
          <w:instrText>PAGE   \* MERGEFORMAT</w:instrText>
        </w:r>
        <w:r>
          <w:fldChar w:fldCharType="separate"/>
        </w:r>
        <w:r>
          <w:t>2</w:t>
        </w:r>
        <w:r>
          <w:fldChar w:fldCharType="end"/>
        </w:r>
      </w:p>
    </w:sdtContent>
  </w:sdt>
  <w:p w14:paraId="24940D64" w14:textId="77777777" w:rsidR="00D95FE7" w:rsidRDefault="00D95FE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27166" w14:textId="77777777" w:rsidR="00240A7B" w:rsidRDefault="00240A7B" w:rsidP="00D95FE7">
      <w:r>
        <w:separator/>
      </w:r>
    </w:p>
  </w:footnote>
  <w:footnote w:type="continuationSeparator" w:id="0">
    <w:p w14:paraId="53FCD5C5" w14:textId="77777777" w:rsidR="00240A7B" w:rsidRDefault="00240A7B" w:rsidP="00D95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hybridMultilevel"/>
    <w:tmpl w:val="6464D426"/>
    <w:lvl w:ilvl="0" w:tplc="FFFFFFFF">
      <w:start w:val="2"/>
      <w:numFmt w:val="decimal"/>
      <w:lvlText w:val="(%1)"/>
      <w:lvlJc w:val="left"/>
    </w:lvl>
    <w:lvl w:ilvl="1" w:tplc="49941CFA">
      <w:start w:val="1"/>
      <w:numFmt w:val="lowerLetter"/>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5"/>
    <w:multiLevelType w:val="hybridMultilevel"/>
    <w:tmpl w:val="1DBABF00"/>
    <w:lvl w:ilvl="0" w:tplc="614CF48A">
      <w:start w:val="2"/>
      <w:numFmt w:val="decimal"/>
      <w:lvlText w:val="(%1)"/>
      <w:lvlJc w:val="left"/>
    </w:lvl>
    <w:lvl w:ilvl="1" w:tplc="0EC29714">
      <w:start w:val="1"/>
      <w:numFmt w:val="bullet"/>
      <w:lvlText w:val="-"/>
      <w:lvlJc w:val="left"/>
    </w:lvl>
    <w:lvl w:ilvl="2" w:tplc="613A68E2">
      <w:start w:val="1"/>
      <w:numFmt w:val="bullet"/>
      <w:lvlText w:val=""/>
      <w:lvlJc w:val="left"/>
    </w:lvl>
    <w:lvl w:ilvl="3" w:tplc="33B4F13A">
      <w:start w:val="1"/>
      <w:numFmt w:val="bullet"/>
      <w:lvlText w:val=""/>
      <w:lvlJc w:val="left"/>
    </w:lvl>
    <w:lvl w:ilvl="4" w:tplc="C2581F18">
      <w:start w:val="1"/>
      <w:numFmt w:val="bullet"/>
      <w:lvlText w:val=""/>
      <w:lvlJc w:val="left"/>
    </w:lvl>
    <w:lvl w:ilvl="5" w:tplc="391080EC">
      <w:start w:val="1"/>
      <w:numFmt w:val="bullet"/>
      <w:lvlText w:val=""/>
      <w:lvlJc w:val="left"/>
    </w:lvl>
    <w:lvl w:ilvl="6" w:tplc="5F467D76">
      <w:start w:val="1"/>
      <w:numFmt w:val="bullet"/>
      <w:lvlText w:val=""/>
      <w:lvlJc w:val="left"/>
    </w:lvl>
    <w:lvl w:ilvl="7" w:tplc="823E10F6">
      <w:start w:val="1"/>
      <w:numFmt w:val="bullet"/>
      <w:lvlText w:val=""/>
      <w:lvlJc w:val="left"/>
    </w:lvl>
    <w:lvl w:ilvl="8" w:tplc="162E2BD2">
      <w:start w:val="1"/>
      <w:numFmt w:val="bullet"/>
      <w:lvlText w:val=""/>
      <w:lvlJc w:val="left"/>
    </w:lvl>
  </w:abstractNum>
  <w:abstractNum w:abstractNumId="2" w15:restartNumberingAfterBreak="0">
    <w:nsid w:val="00007E87"/>
    <w:multiLevelType w:val="hybridMultilevel"/>
    <w:tmpl w:val="F1226862"/>
    <w:lvl w:ilvl="0" w:tplc="D0FE59F0">
      <w:start w:val="1"/>
      <w:numFmt w:val="bullet"/>
      <w:lvlText w:val="-"/>
      <w:lvlJc w:val="left"/>
    </w:lvl>
    <w:lvl w:ilvl="1" w:tplc="E88006EE">
      <w:numFmt w:val="decimal"/>
      <w:lvlText w:val=""/>
      <w:lvlJc w:val="left"/>
    </w:lvl>
    <w:lvl w:ilvl="2" w:tplc="18DAD68C">
      <w:numFmt w:val="decimal"/>
      <w:lvlText w:val=""/>
      <w:lvlJc w:val="left"/>
    </w:lvl>
    <w:lvl w:ilvl="3" w:tplc="69A2FC16">
      <w:numFmt w:val="decimal"/>
      <w:lvlText w:val=""/>
      <w:lvlJc w:val="left"/>
    </w:lvl>
    <w:lvl w:ilvl="4" w:tplc="6E86AB12">
      <w:numFmt w:val="decimal"/>
      <w:lvlText w:val=""/>
      <w:lvlJc w:val="left"/>
    </w:lvl>
    <w:lvl w:ilvl="5" w:tplc="85300EA2">
      <w:numFmt w:val="decimal"/>
      <w:lvlText w:val=""/>
      <w:lvlJc w:val="left"/>
    </w:lvl>
    <w:lvl w:ilvl="6" w:tplc="E3FCE934">
      <w:numFmt w:val="decimal"/>
      <w:lvlText w:val=""/>
      <w:lvlJc w:val="left"/>
    </w:lvl>
    <w:lvl w:ilvl="7" w:tplc="2C6EE7FC">
      <w:numFmt w:val="decimal"/>
      <w:lvlText w:val=""/>
      <w:lvlJc w:val="left"/>
    </w:lvl>
    <w:lvl w:ilvl="8" w:tplc="7514F662">
      <w:numFmt w:val="decimal"/>
      <w:lvlText w:val=""/>
      <w:lvlJc w:val="left"/>
    </w:lvl>
  </w:abstractNum>
  <w:abstractNum w:abstractNumId="3" w15:restartNumberingAfterBreak="0">
    <w:nsid w:val="0741700D"/>
    <w:multiLevelType w:val="hybridMultilevel"/>
    <w:tmpl w:val="C4D6DF6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BA53D7D"/>
    <w:multiLevelType w:val="hybridMultilevel"/>
    <w:tmpl w:val="6088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32588"/>
    <w:multiLevelType w:val="hybridMultilevel"/>
    <w:tmpl w:val="F43EB0F4"/>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D21211"/>
    <w:multiLevelType w:val="hybridMultilevel"/>
    <w:tmpl w:val="4DCA95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F55273"/>
    <w:multiLevelType w:val="hybridMultilevel"/>
    <w:tmpl w:val="C3EE3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539BA"/>
    <w:multiLevelType w:val="hybridMultilevel"/>
    <w:tmpl w:val="215E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D658F"/>
    <w:multiLevelType w:val="hybridMultilevel"/>
    <w:tmpl w:val="35FEC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A34D34"/>
    <w:multiLevelType w:val="multilevel"/>
    <w:tmpl w:val="345C02A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1" w15:restartNumberingAfterBreak="0">
    <w:nsid w:val="56BD49DB"/>
    <w:multiLevelType w:val="hybridMultilevel"/>
    <w:tmpl w:val="13A60F44"/>
    <w:lvl w:ilvl="0" w:tplc="05943E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4426A"/>
    <w:multiLevelType w:val="hybridMultilevel"/>
    <w:tmpl w:val="EC90E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86D5C"/>
    <w:multiLevelType w:val="hybridMultilevel"/>
    <w:tmpl w:val="8570BF4A"/>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9651504"/>
    <w:multiLevelType w:val="hybridMultilevel"/>
    <w:tmpl w:val="F07C7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672B0"/>
    <w:multiLevelType w:val="hybridMultilevel"/>
    <w:tmpl w:val="A3F2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6F5D9B"/>
    <w:multiLevelType w:val="hybridMultilevel"/>
    <w:tmpl w:val="813AFCCA"/>
    <w:lvl w:ilvl="0" w:tplc="063A21FE">
      <w:start w:val="1"/>
      <w:numFmt w:val="lowerLetter"/>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76DA5"/>
    <w:multiLevelType w:val="hybridMultilevel"/>
    <w:tmpl w:val="96721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B5575"/>
    <w:multiLevelType w:val="hybridMultilevel"/>
    <w:tmpl w:val="BBB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727F26"/>
    <w:multiLevelType w:val="hybridMultilevel"/>
    <w:tmpl w:val="469091A4"/>
    <w:lvl w:ilvl="0" w:tplc="34A28C1A">
      <w:start w:val="1"/>
      <w:numFmt w:val="bullet"/>
      <w:lvlText w:val="-"/>
      <w:lvlJc w:val="left"/>
      <w:pPr>
        <w:ind w:left="2160" w:hanging="360"/>
      </w:pPr>
      <w:rPr>
        <w:rFonts w:ascii="Tahoma" w:eastAsia="Book Antiqua" w:hAnsi="Tahoma" w:cs="Tahom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AE567FA"/>
    <w:multiLevelType w:val="hybridMultilevel"/>
    <w:tmpl w:val="459CD786"/>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DCD6E0D"/>
    <w:multiLevelType w:val="hybridMultilevel"/>
    <w:tmpl w:val="5B02E584"/>
    <w:lvl w:ilvl="0" w:tplc="8132E9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1971902">
    <w:abstractNumId w:val="2"/>
  </w:num>
  <w:num w:numId="2" w16cid:durableId="1807433957">
    <w:abstractNumId w:val="18"/>
  </w:num>
  <w:num w:numId="3" w16cid:durableId="212884275">
    <w:abstractNumId w:val="6"/>
  </w:num>
  <w:num w:numId="4" w16cid:durableId="1614706747">
    <w:abstractNumId w:val="0"/>
  </w:num>
  <w:num w:numId="5" w16cid:durableId="1634946542">
    <w:abstractNumId w:val="1"/>
  </w:num>
  <w:num w:numId="6" w16cid:durableId="841161082">
    <w:abstractNumId w:val="10"/>
  </w:num>
  <w:num w:numId="7" w16cid:durableId="607855927">
    <w:abstractNumId w:val="4"/>
  </w:num>
  <w:num w:numId="8" w16cid:durableId="2117631780">
    <w:abstractNumId w:val="15"/>
  </w:num>
  <w:num w:numId="9" w16cid:durableId="354624456">
    <w:abstractNumId w:val="12"/>
  </w:num>
  <w:num w:numId="10" w16cid:durableId="834686539">
    <w:abstractNumId w:val="9"/>
  </w:num>
  <w:num w:numId="11" w16cid:durableId="649099973">
    <w:abstractNumId w:val="14"/>
  </w:num>
  <w:num w:numId="12" w16cid:durableId="878396114">
    <w:abstractNumId w:val="17"/>
  </w:num>
  <w:num w:numId="13" w16cid:durableId="509300093">
    <w:abstractNumId w:val="7"/>
  </w:num>
  <w:num w:numId="14" w16cid:durableId="1172182994">
    <w:abstractNumId w:val="8"/>
  </w:num>
  <w:num w:numId="15" w16cid:durableId="2084721532">
    <w:abstractNumId w:val="3"/>
  </w:num>
  <w:num w:numId="16" w16cid:durableId="782305127">
    <w:abstractNumId w:val="11"/>
  </w:num>
  <w:num w:numId="17" w16cid:durableId="345906366">
    <w:abstractNumId w:val="20"/>
  </w:num>
  <w:num w:numId="18" w16cid:durableId="221989989">
    <w:abstractNumId w:val="21"/>
  </w:num>
  <w:num w:numId="19" w16cid:durableId="574903355">
    <w:abstractNumId w:val="13"/>
  </w:num>
  <w:num w:numId="20" w16cid:durableId="349796715">
    <w:abstractNumId w:val="5"/>
  </w:num>
  <w:num w:numId="21" w16cid:durableId="1140616187">
    <w:abstractNumId w:val="16"/>
  </w:num>
  <w:num w:numId="22" w16cid:durableId="8236617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3EA"/>
    <w:rsid w:val="00040631"/>
    <w:rsid w:val="00052291"/>
    <w:rsid w:val="001D57E4"/>
    <w:rsid w:val="00240A7B"/>
    <w:rsid w:val="00255F8A"/>
    <w:rsid w:val="004F3533"/>
    <w:rsid w:val="005733EA"/>
    <w:rsid w:val="005D6114"/>
    <w:rsid w:val="006127D3"/>
    <w:rsid w:val="007678D0"/>
    <w:rsid w:val="00794FEC"/>
    <w:rsid w:val="007A1163"/>
    <w:rsid w:val="00897EB4"/>
    <w:rsid w:val="00917219"/>
    <w:rsid w:val="009652CE"/>
    <w:rsid w:val="009A48C2"/>
    <w:rsid w:val="00C41484"/>
    <w:rsid w:val="00D95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3DD34"/>
  <w15:chartTrackingRefBased/>
  <w15:docId w15:val="{D1E6A4FB-81A1-4DB3-89AB-65364D3CA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8D0"/>
    <w:pPr>
      <w:spacing w:after="0" w:line="240" w:lineRule="auto"/>
    </w:pPr>
    <w:rPr>
      <w:rFonts w:ascii="Calibri" w:eastAsia="Calibri" w:hAnsi="Calibri" w:cs="Arial"/>
      <w:kern w:val="0"/>
      <w:sz w:val="20"/>
      <w:szCs w:val="20"/>
      <w:lang w:val="ro-RO" w:eastAsia="ro-RO"/>
      <w14:ligatures w14:val="none"/>
    </w:rPr>
  </w:style>
  <w:style w:type="paragraph" w:styleId="Titlu1">
    <w:name w:val="heading 1"/>
    <w:basedOn w:val="Normal"/>
    <w:next w:val="Normal"/>
    <w:link w:val="Titlu1Caracter"/>
    <w:uiPriority w:val="9"/>
    <w:qFormat/>
    <w:rsid w:val="005733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5733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5733EA"/>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5733EA"/>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5733EA"/>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5733E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733E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733E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733E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733EA"/>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5733EA"/>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5733EA"/>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5733EA"/>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5733EA"/>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5733EA"/>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733EA"/>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733EA"/>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733EA"/>
    <w:rPr>
      <w:rFonts w:eastAsiaTheme="majorEastAsia" w:cstheme="majorBidi"/>
      <w:color w:val="272727" w:themeColor="text1" w:themeTint="D8"/>
    </w:rPr>
  </w:style>
  <w:style w:type="paragraph" w:styleId="Titlu">
    <w:name w:val="Title"/>
    <w:basedOn w:val="Normal"/>
    <w:next w:val="Normal"/>
    <w:link w:val="TitluCaracter"/>
    <w:uiPriority w:val="10"/>
    <w:qFormat/>
    <w:rsid w:val="005733E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733EA"/>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733EA"/>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733EA"/>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733EA"/>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733EA"/>
    <w:rPr>
      <w:i/>
      <w:iCs/>
      <w:color w:val="404040" w:themeColor="text1" w:themeTint="BF"/>
    </w:rPr>
  </w:style>
  <w:style w:type="paragraph" w:styleId="Listparagraf">
    <w:name w:val="List Paragraph"/>
    <w:aliases w:val="body 2,List Paragraph1,List Paragraph11,List Paragraph111,Normal bullet 2,Forth level,Lettre d'introduction,Header bold,bullets,Arial,List Paragraph111111,List Paragraph1111,List Paragraph11111,List Paragraph1111111,List1,List_Paragraph"/>
    <w:basedOn w:val="Normal"/>
    <w:link w:val="ListparagrafCaracter"/>
    <w:uiPriority w:val="34"/>
    <w:qFormat/>
    <w:rsid w:val="005733EA"/>
    <w:pPr>
      <w:ind w:left="720"/>
      <w:contextualSpacing/>
    </w:pPr>
  </w:style>
  <w:style w:type="character" w:styleId="Accentuareintens">
    <w:name w:val="Intense Emphasis"/>
    <w:basedOn w:val="Fontdeparagrafimplicit"/>
    <w:uiPriority w:val="21"/>
    <w:qFormat/>
    <w:rsid w:val="005733EA"/>
    <w:rPr>
      <w:i/>
      <w:iCs/>
      <w:color w:val="0F4761" w:themeColor="accent1" w:themeShade="BF"/>
    </w:rPr>
  </w:style>
  <w:style w:type="paragraph" w:styleId="Citatintens">
    <w:name w:val="Intense Quote"/>
    <w:basedOn w:val="Normal"/>
    <w:next w:val="Normal"/>
    <w:link w:val="CitatintensCaracter"/>
    <w:uiPriority w:val="30"/>
    <w:qFormat/>
    <w:rsid w:val="005733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5733EA"/>
    <w:rPr>
      <w:i/>
      <w:iCs/>
      <w:color w:val="0F4761" w:themeColor="accent1" w:themeShade="BF"/>
    </w:rPr>
  </w:style>
  <w:style w:type="character" w:styleId="Referireintens">
    <w:name w:val="Intense Reference"/>
    <w:basedOn w:val="Fontdeparagrafimplicit"/>
    <w:uiPriority w:val="32"/>
    <w:qFormat/>
    <w:rsid w:val="005733EA"/>
    <w:rPr>
      <w:b/>
      <w:bCs/>
      <w:smallCaps/>
      <w:color w:val="0F4761" w:themeColor="accent1" w:themeShade="BF"/>
      <w:spacing w:val="5"/>
    </w:rPr>
  </w:style>
  <w:style w:type="character" w:customStyle="1" w:styleId="ListparagrafCaracter">
    <w:name w:val="Listă paragraf Caracter"/>
    <w:aliases w:val="body 2 Caracter,List Paragraph1 Caracter,List Paragraph11 Caracter,List Paragraph111 Caracter,Normal bullet 2 Caracter,Forth level Caracter,Lettre d'introduction Caracter,Header bold Caracter,bullets Caracter,Arial Caracter"/>
    <w:link w:val="Listparagraf"/>
    <w:uiPriority w:val="34"/>
    <w:qFormat/>
    <w:locked/>
    <w:rsid w:val="00794FEC"/>
  </w:style>
  <w:style w:type="paragraph" w:styleId="Antet">
    <w:name w:val="header"/>
    <w:basedOn w:val="Normal"/>
    <w:link w:val="AntetCaracter"/>
    <w:uiPriority w:val="99"/>
    <w:unhideWhenUsed/>
    <w:rsid w:val="00D95FE7"/>
    <w:pPr>
      <w:tabs>
        <w:tab w:val="center" w:pos="4680"/>
        <w:tab w:val="right" w:pos="9360"/>
      </w:tabs>
    </w:pPr>
  </w:style>
  <w:style w:type="character" w:customStyle="1" w:styleId="AntetCaracter">
    <w:name w:val="Antet Caracter"/>
    <w:basedOn w:val="Fontdeparagrafimplicit"/>
    <w:link w:val="Antet"/>
    <w:uiPriority w:val="99"/>
    <w:rsid w:val="00D95FE7"/>
    <w:rPr>
      <w:rFonts w:ascii="Calibri" w:eastAsia="Calibri" w:hAnsi="Calibri" w:cs="Arial"/>
      <w:kern w:val="0"/>
      <w:sz w:val="20"/>
      <w:szCs w:val="20"/>
      <w:lang w:val="ro-RO" w:eastAsia="ro-RO"/>
      <w14:ligatures w14:val="none"/>
    </w:rPr>
  </w:style>
  <w:style w:type="paragraph" w:styleId="Subsol">
    <w:name w:val="footer"/>
    <w:basedOn w:val="Normal"/>
    <w:link w:val="SubsolCaracter"/>
    <w:uiPriority w:val="99"/>
    <w:unhideWhenUsed/>
    <w:rsid w:val="00D95FE7"/>
    <w:pPr>
      <w:tabs>
        <w:tab w:val="center" w:pos="4680"/>
        <w:tab w:val="right" w:pos="9360"/>
      </w:tabs>
    </w:pPr>
  </w:style>
  <w:style w:type="character" w:customStyle="1" w:styleId="SubsolCaracter">
    <w:name w:val="Subsol Caracter"/>
    <w:basedOn w:val="Fontdeparagrafimplicit"/>
    <w:link w:val="Subsol"/>
    <w:uiPriority w:val="99"/>
    <w:rsid w:val="00D95FE7"/>
    <w:rPr>
      <w:rFonts w:ascii="Calibri" w:eastAsia="Calibri" w:hAnsi="Calibri" w:cs="Arial"/>
      <w:kern w:val="0"/>
      <w:sz w:val="20"/>
      <w:szCs w:val="20"/>
      <w:lang w:val="ro-RO" w:eastAsia="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6976</Words>
  <Characters>39767</Characters>
  <Application>Microsoft Office Word</Application>
  <DocSecurity>0</DocSecurity>
  <Lines>331</Lines>
  <Paragraphs>93</Paragraphs>
  <ScaleCrop>false</ScaleCrop>
  <Company/>
  <LinksUpToDate>false</LinksUpToDate>
  <CharactersWithSpaces>46650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ANDREIES</dc:creator>
  <cp:keywords/>
  <dc:description/>
  <cp:lastModifiedBy>Anca-Emilia SUCIU</cp:lastModifiedBy>
  <cp:revision>8</cp:revision>
  <cp:lastPrinted>2026-05-28T13:16:00Z</cp:lastPrinted>
  <dcterms:created xsi:type="dcterms:W3CDTF">2026-05-20T11:53:00Z</dcterms:created>
  <dcterms:modified xsi:type="dcterms:W3CDTF">2026-06-12T10:42:00Z</dcterms:modified>
</cp:coreProperties>
</file>